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1E" w:rsidRPr="009F702A" w:rsidRDefault="009C6CC5" w:rsidP="000C3BE1">
      <w:pPr>
        <w:jc w:val="center"/>
        <w:rPr>
          <w:rFonts w:cs="Calibri"/>
          <w:b/>
          <w:color w:val="404040"/>
          <w:sz w:val="28"/>
          <w:szCs w:val="24"/>
        </w:rPr>
      </w:pPr>
      <w:bookmarkStart w:id="0" w:name="_GoBack"/>
      <w:bookmarkEnd w:id="0"/>
      <w:r w:rsidRPr="009F702A">
        <w:rPr>
          <w:rFonts w:cs="Calibri"/>
          <w:b/>
          <w:color w:val="404040"/>
          <w:sz w:val="28"/>
          <w:szCs w:val="24"/>
        </w:rPr>
        <w:t>Titre du projet : « </w:t>
      </w:r>
      <w:r w:rsidR="00EE2A1E" w:rsidRPr="009F702A">
        <w:rPr>
          <w:rFonts w:cs="Calibri"/>
          <w:b/>
          <w:color w:val="404040"/>
          <w:sz w:val="28"/>
          <w:szCs w:val="24"/>
        </w:rPr>
        <w:t xml:space="preserve">Communiquons ensemble : Co-construction de l’espace communicatif multimodal entre personnes porteuses de Trisomie 21 </w:t>
      </w:r>
      <w:r w:rsidR="00987F6B" w:rsidRPr="009F702A">
        <w:rPr>
          <w:rFonts w:cs="Calibri"/>
          <w:b/>
          <w:color w:val="404040"/>
          <w:sz w:val="28"/>
          <w:szCs w:val="24"/>
        </w:rPr>
        <w:br/>
      </w:r>
      <w:r w:rsidR="000C3BE1" w:rsidRPr="009F702A">
        <w:rPr>
          <w:rFonts w:cs="Calibri"/>
          <w:b/>
          <w:color w:val="404040"/>
          <w:sz w:val="28"/>
          <w:szCs w:val="24"/>
        </w:rPr>
        <w:t>et personnes</w:t>
      </w:r>
      <w:r w:rsidR="00EE2A1E" w:rsidRPr="009F702A">
        <w:rPr>
          <w:rFonts w:cs="Calibri"/>
          <w:b/>
          <w:color w:val="404040"/>
          <w:sz w:val="28"/>
          <w:szCs w:val="24"/>
        </w:rPr>
        <w:t> </w:t>
      </w:r>
      <w:r w:rsidR="000C3BE1" w:rsidRPr="009F702A">
        <w:rPr>
          <w:rFonts w:cs="Calibri"/>
          <w:b/>
          <w:color w:val="404040"/>
          <w:sz w:val="28"/>
          <w:szCs w:val="24"/>
        </w:rPr>
        <w:t>‘</w:t>
      </w:r>
      <w:r w:rsidR="00EE2A1E" w:rsidRPr="009F702A">
        <w:rPr>
          <w:rFonts w:cs="Calibri"/>
          <w:b/>
          <w:color w:val="404040"/>
          <w:sz w:val="28"/>
          <w:szCs w:val="24"/>
        </w:rPr>
        <w:t>ordinaires</w:t>
      </w:r>
      <w:r w:rsidR="000C3BE1" w:rsidRPr="009F702A">
        <w:rPr>
          <w:rFonts w:cs="Calibri"/>
          <w:b/>
          <w:color w:val="404040"/>
          <w:sz w:val="28"/>
          <w:szCs w:val="24"/>
        </w:rPr>
        <w:t>’</w:t>
      </w:r>
      <w:r w:rsidR="00987F6B" w:rsidRPr="009F702A">
        <w:rPr>
          <w:rFonts w:cs="Calibri"/>
          <w:b/>
          <w:color w:val="404040"/>
          <w:sz w:val="28"/>
          <w:szCs w:val="24"/>
        </w:rPr>
        <w:t> »</w:t>
      </w:r>
    </w:p>
    <w:p w:rsidR="009C6CC5" w:rsidRPr="000B3843" w:rsidRDefault="009C6CC5" w:rsidP="009C6CC5">
      <w:pPr>
        <w:ind w:left="360"/>
        <w:jc w:val="both"/>
        <w:rPr>
          <w:rFonts w:ascii="Arial" w:hAnsi="Arial" w:cs="Arial"/>
          <w:b/>
          <w:iCs/>
          <w:sz w:val="20"/>
          <w:szCs w:val="20"/>
        </w:rPr>
      </w:pPr>
    </w:p>
    <w:p w:rsidR="009C6CC5" w:rsidRPr="009F702A" w:rsidRDefault="009C6CC5" w:rsidP="009F702A">
      <w:pPr>
        <w:pBdr>
          <w:top w:val="single" w:sz="4" w:space="1" w:color="156117"/>
          <w:left w:val="single" w:sz="4" w:space="4" w:color="156117"/>
          <w:bottom w:val="single" w:sz="4" w:space="1" w:color="156117"/>
          <w:right w:val="single" w:sz="4" w:space="4" w:color="156117"/>
        </w:pBdr>
        <w:shd w:val="clear" w:color="auto" w:fill="D6E3BC"/>
        <w:spacing w:after="0"/>
        <w:ind w:firstLine="708"/>
        <w:rPr>
          <w:rFonts w:cs="Calibri"/>
          <w:b/>
          <w:color w:val="4B9941"/>
          <w:sz w:val="24"/>
          <w:szCs w:val="24"/>
        </w:rPr>
      </w:pPr>
      <w:r w:rsidRPr="009F702A">
        <w:rPr>
          <w:rFonts w:cs="Calibri"/>
          <w:b/>
          <w:color w:val="4B9941"/>
          <w:sz w:val="24"/>
          <w:szCs w:val="24"/>
        </w:rPr>
        <w:t>RESUME DU PROJET</w:t>
      </w:r>
    </w:p>
    <w:p w:rsidR="009C6CC5" w:rsidRPr="009F702A" w:rsidRDefault="009C6CC5" w:rsidP="00006F4A">
      <w:pPr>
        <w:spacing w:after="0" w:line="240" w:lineRule="auto"/>
        <w:rPr>
          <w:rFonts w:cs="Calibri"/>
          <w:b/>
          <w:color w:val="4B9941"/>
          <w:sz w:val="24"/>
          <w:szCs w:val="24"/>
        </w:rPr>
      </w:pPr>
    </w:p>
    <w:p w:rsidR="00722979" w:rsidRPr="009F702A" w:rsidRDefault="00722979" w:rsidP="00006F4A">
      <w:pPr>
        <w:spacing w:after="0" w:line="240" w:lineRule="auto"/>
        <w:jc w:val="both"/>
        <w:rPr>
          <w:rFonts w:cs="Calibri"/>
          <w:spacing w:val="-2"/>
          <w:szCs w:val="24"/>
          <w:lang w:eastAsia="fr-FR"/>
        </w:rPr>
      </w:pPr>
      <w:r w:rsidRPr="009F702A">
        <w:rPr>
          <w:rFonts w:cs="Calibri"/>
          <w:spacing w:val="-2"/>
          <w:szCs w:val="24"/>
          <w:lang w:eastAsia="fr-FR"/>
        </w:rPr>
        <w:t>La communication interpersonnelle fonde l'intégration sociale et la reconnaissance de l'identité individuelle. Les troubles de la parole sont plus importants que le déficit intellectuel chez les personnes porteuses de Trisomie 21 (T21), induisant leurs interlocuteurs « ordinaires » à surévaluer leur handicap cognitif et à adopter des comportements communicatifs qui aggravent en retour les difficultés d’expression de la personne porteuse de T21. La recherche fondamentale montre le rôle déterminant des facteurs environnementaux, corporels et socio-culturels dans nos capacités à comprendre, agir et percevoir. Dans ce cadre, la recherche sur la parole montre que : (1) le langage s’inscrit dans nos systèmes sensori-moteurs avec des liens forts entre parole et gestualité manuelle ; (2) le dialogue entre deux personnes implique des mécanismes automatiques d’adaptation de la parole et de coordination sensori-motrice entre les partenaires qui participent à construire un espace communicatif facilitant l’échange. Ce projet propose d’appliquer ces connaissances théoriques et méthodologiques pour réduire les barrières comportementales qui limitent la communication entre personnes porteuses de T21 et personnes « ordinaires ».</w:t>
      </w:r>
      <w:r w:rsidR="00850C33" w:rsidRPr="009F702A">
        <w:rPr>
          <w:rFonts w:cs="Calibri"/>
          <w:spacing w:val="-2"/>
          <w:szCs w:val="24"/>
          <w:lang w:eastAsia="fr-FR"/>
        </w:rPr>
        <w:t xml:space="preserve"> C</w:t>
      </w:r>
      <w:r w:rsidRPr="009F702A">
        <w:rPr>
          <w:rFonts w:cs="Calibri"/>
          <w:spacing w:val="-2"/>
          <w:szCs w:val="24"/>
          <w:lang w:eastAsia="fr-FR"/>
        </w:rPr>
        <w:t xml:space="preserve">e projet partenarial et participatif a pour objectifs de : </w:t>
      </w:r>
      <w:r w:rsidRPr="009F702A">
        <w:rPr>
          <w:rFonts w:cs="Calibri"/>
          <w:b/>
          <w:spacing w:val="-2"/>
          <w:szCs w:val="24"/>
          <w:lang w:eastAsia="fr-FR"/>
        </w:rPr>
        <w:t>(1)</w:t>
      </w:r>
      <w:r w:rsidRPr="009F702A">
        <w:rPr>
          <w:rFonts w:cs="Calibri"/>
          <w:spacing w:val="-2"/>
          <w:szCs w:val="24"/>
          <w:lang w:eastAsia="fr-FR"/>
        </w:rPr>
        <w:t xml:space="preserve"> Mener des enquêtes dans différents pays francophones pour comprendre les difficultés communicatives réelles et leurs dépendances éventuelles au pays ; </w:t>
      </w:r>
      <w:r w:rsidRPr="009F702A">
        <w:rPr>
          <w:rFonts w:cs="Calibri"/>
          <w:b/>
          <w:spacing w:val="-2"/>
          <w:szCs w:val="24"/>
          <w:lang w:eastAsia="fr-FR"/>
        </w:rPr>
        <w:t>(2)</w:t>
      </w:r>
      <w:r w:rsidRPr="009F702A">
        <w:rPr>
          <w:rFonts w:cs="Calibri"/>
          <w:spacing w:val="-2"/>
          <w:szCs w:val="24"/>
          <w:lang w:eastAsia="fr-FR"/>
        </w:rPr>
        <w:t xml:space="preserve"> Comprendre les adaptations interpersonnelles entre personnes porteuses de T21 et « ordinaires » relativement aux attentes de ces personnes et des propriétés de leur parole et évaluer si la familiarisation avec la personne améliore ces adaptations ; </w:t>
      </w:r>
      <w:r w:rsidRPr="009F702A">
        <w:rPr>
          <w:rFonts w:cs="Calibri"/>
          <w:b/>
          <w:spacing w:val="-2"/>
          <w:szCs w:val="24"/>
          <w:lang w:eastAsia="fr-FR"/>
        </w:rPr>
        <w:t>(3)</w:t>
      </w:r>
      <w:r w:rsidRPr="009F702A">
        <w:rPr>
          <w:rFonts w:cs="Calibri"/>
          <w:spacing w:val="-2"/>
          <w:szCs w:val="24"/>
          <w:lang w:eastAsia="fr-FR"/>
        </w:rPr>
        <w:t xml:space="preserve"> Evaluer le rôle que peut jouer le geste manuel dans l’acquisition de la parole et pour améliorer l’interaction ; </w:t>
      </w:r>
      <w:r w:rsidRPr="009F702A">
        <w:rPr>
          <w:rFonts w:cs="Calibri"/>
          <w:b/>
          <w:spacing w:val="-2"/>
          <w:szCs w:val="24"/>
          <w:lang w:eastAsia="fr-FR"/>
        </w:rPr>
        <w:t>(4)</w:t>
      </w:r>
      <w:r w:rsidRPr="009F702A">
        <w:rPr>
          <w:rFonts w:cs="Calibri"/>
          <w:spacing w:val="-2"/>
          <w:szCs w:val="24"/>
          <w:lang w:eastAsia="fr-FR"/>
        </w:rPr>
        <w:t xml:space="preserve"> Développer de nouveaux lieux d’échanges entre les chercheurs, les professionnels et toute personne se sentant concernée, ainsi que des supports d’information à diffusion large.</w:t>
      </w:r>
    </w:p>
    <w:p w:rsidR="009C6CC5" w:rsidRPr="009F702A" w:rsidRDefault="009C6CC5" w:rsidP="00006F4A">
      <w:pPr>
        <w:spacing w:after="0" w:line="240" w:lineRule="auto"/>
        <w:rPr>
          <w:rFonts w:cs="Calibri"/>
          <w:b/>
          <w:color w:val="4B9941"/>
          <w:szCs w:val="24"/>
        </w:rPr>
      </w:pPr>
      <w:r w:rsidRPr="009F702A">
        <w:rPr>
          <w:rFonts w:cs="Calibri"/>
          <w:b/>
          <w:color w:val="4B9941"/>
          <w:szCs w:val="24"/>
        </w:rPr>
        <w:t xml:space="preserve">Durée : </w:t>
      </w:r>
      <w:r w:rsidRPr="009F702A">
        <w:rPr>
          <w:rFonts w:cs="Calibri"/>
          <w:szCs w:val="24"/>
        </w:rPr>
        <w:t>2 ans</w:t>
      </w:r>
    </w:p>
    <w:p w:rsidR="009C6CC5" w:rsidRPr="009F702A" w:rsidRDefault="009C6CC5" w:rsidP="009C6CC5">
      <w:pPr>
        <w:spacing w:after="0" w:line="240" w:lineRule="auto"/>
        <w:rPr>
          <w:rFonts w:cs="Calibri"/>
          <w:b/>
          <w:color w:val="4B9941"/>
          <w:sz w:val="24"/>
          <w:szCs w:val="24"/>
        </w:rPr>
      </w:pPr>
    </w:p>
    <w:p w:rsidR="009C6CC5" w:rsidRPr="009F702A" w:rsidRDefault="009C6CC5" w:rsidP="009C6CC5">
      <w:pPr>
        <w:spacing w:after="0" w:line="240" w:lineRule="auto"/>
        <w:rPr>
          <w:rFonts w:cs="Calibri"/>
          <w:b/>
          <w:sz w:val="24"/>
          <w:szCs w:val="24"/>
        </w:rPr>
      </w:pPr>
    </w:p>
    <w:p w:rsidR="009C6CC5" w:rsidRPr="009F702A" w:rsidRDefault="009C6CC5" w:rsidP="009F702A">
      <w:pPr>
        <w:pBdr>
          <w:top w:val="single" w:sz="4" w:space="1" w:color="156117"/>
          <w:left w:val="single" w:sz="4" w:space="4" w:color="156117"/>
          <w:bottom w:val="single" w:sz="4" w:space="1" w:color="156117"/>
          <w:right w:val="single" w:sz="4" w:space="4" w:color="156117"/>
        </w:pBdr>
        <w:shd w:val="clear" w:color="auto" w:fill="D6E3BC"/>
        <w:ind w:firstLine="708"/>
        <w:rPr>
          <w:rFonts w:cs="Calibri"/>
          <w:b/>
          <w:color w:val="4B9941"/>
          <w:sz w:val="24"/>
          <w:szCs w:val="24"/>
        </w:rPr>
      </w:pPr>
      <w:r w:rsidRPr="009F702A">
        <w:rPr>
          <w:rFonts w:cs="Calibri"/>
          <w:b/>
          <w:color w:val="4B9941"/>
          <w:sz w:val="24"/>
          <w:szCs w:val="24"/>
        </w:rPr>
        <w:t xml:space="preserve">LES ACTEURS </w:t>
      </w:r>
      <w:proofErr w:type="gramStart"/>
      <w:r w:rsidRPr="009F702A">
        <w:rPr>
          <w:rFonts w:cs="Calibri"/>
          <w:b/>
          <w:color w:val="4B9941"/>
          <w:sz w:val="24"/>
          <w:szCs w:val="24"/>
        </w:rPr>
        <w:t>IMPLIQUES</w:t>
      </w:r>
      <w:proofErr w:type="gramEnd"/>
      <w:r w:rsidRPr="009F702A">
        <w:rPr>
          <w:rFonts w:cs="Calibri"/>
          <w:b/>
          <w:color w:val="4B9941"/>
          <w:sz w:val="24"/>
          <w:szCs w:val="24"/>
        </w:rPr>
        <w:t xml:space="preserve"> DANS LA RECHERCHE</w:t>
      </w:r>
    </w:p>
    <w:p w:rsidR="002A774C" w:rsidRPr="009F702A" w:rsidRDefault="00722979" w:rsidP="002A774C">
      <w:pPr>
        <w:pStyle w:val="Listecouleur-Accent1"/>
        <w:numPr>
          <w:ilvl w:val="0"/>
          <w:numId w:val="1"/>
        </w:numPr>
        <w:spacing w:after="0" w:line="240" w:lineRule="auto"/>
        <w:jc w:val="both"/>
        <w:rPr>
          <w:rFonts w:cs="Calibri"/>
          <w:color w:val="0000FF"/>
          <w:spacing w:val="-2"/>
          <w:szCs w:val="24"/>
          <w:lang w:eastAsia="fr-FR"/>
        </w:rPr>
      </w:pPr>
      <w:r w:rsidRPr="009F702A">
        <w:rPr>
          <w:rFonts w:cs="Calibri"/>
          <w:b/>
          <w:color w:val="4B9941"/>
          <w:sz w:val="24"/>
          <w:szCs w:val="24"/>
        </w:rPr>
        <w:t>Porteurs :</w:t>
      </w:r>
    </w:p>
    <w:p w:rsidR="00BD5E72" w:rsidRPr="009F702A" w:rsidRDefault="00722979" w:rsidP="002A774C">
      <w:pPr>
        <w:spacing w:after="0" w:line="240" w:lineRule="auto"/>
        <w:jc w:val="both"/>
        <w:rPr>
          <w:rFonts w:cs="Calibri"/>
          <w:color w:val="0000FF"/>
          <w:spacing w:val="-2"/>
          <w:szCs w:val="24"/>
          <w:lang w:eastAsia="fr-FR"/>
        </w:rPr>
      </w:pPr>
      <w:r w:rsidRPr="009F702A">
        <w:rPr>
          <w:rFonts w:cs="Calibri"/>
          <w:spacing w:val="-2"/>
          <w:szCs w:val="24"/>
          <w:lang w:eastAsia="fr-FR"/>
        </w:rPr>
        <w:t>Amélie Rochet-Capellan et Marion Dohen – Laboratoire Gipsa.</w:t>
      </w:r>
      <w:r w:rsidRPr="009F702A">
        <w:rPr>
          <w:rFonts w:cs="Calibri"/>
          <w:color w:val="0000FF"/>
          <w:spacing w:val="-2"/>
          <w:szCs w:val="24"/>
          <w:lang w:eastAsia="fr-FR"/>
        </w:rPr>
        <w:t xml:space="preserve"> </w:t>
      </w:r>
    </w:p>
    <w:p w:rsidR="002A774C" w:rsidRPr="009F702A" w:rsidRDefault="00722979" w:rsidP="002A774C">
      <w:pPr>
        <w:pStyle w:val="Listecouleur-Accent1"/>
        <w:numPr>
          <w:ilvl w:val="0"/>
          <w:numId w:val="1"/>
        </w:numPr>
        <w:spacing w:after="0" w:line="240" w:lineRule="auto"/>
        <w:jc w:val="both"/>
        <w:rPr>
          <w:rFonts w:cs="Calibri"/>
          <w:spacing w:val="-2"/>
          <w:szCs w:val="24"/>
          <w:lang w:eastAsia="fr-FR"/>
        </w:rPr>
      </w:pPr>
      <w:r w:rsidRPr="009F702A">
        <w:rPr>
          <w:rFonts w:cs="Calibri"/>
          <w:b/>
          <w:color w:val="4B9941"/>
          <w:sz w:val="24"/>
          <w:szCs w:val="24"/>
        </w:rPr>
        <w:t>Familles et professionnels</w:t>
      </w:r>
      <w:r w:rsidRPr="009F702A">
        <w:rPr>
          <w:rFonts w:cs="Calibri"/>
          <w:b/>
          <w:color w:val="76923C"/>
          <w:spacing w:val="-2"/>
          <w:szCs w:val="24"/>
          <w:lang w:eastAsia="fr-FR"/>
        </w:rPr>
        <w:t> :</w:t>
      </w:r>
      <w:r w:rsidRPr="009F702A">
        <w:rPr>
          <w:rFonts w:cs="Calibri"/>
          <w:spacing w:val="-2"/>
          <w:szCs w:val="24"/>
          <w:lang w:eastAsia="fr-FR"/>
        </w:rPr>
        <w:t xml:space="preserve"> </w:t>
      </w:r>
    </w:p>
    <w:p w:rsidR="00BD5E72" w:rsidRPr="009F702A" w:rsidRDefault="00722979" w:rsidP="002A774C">
      <w:pPr>
        <w:spacing w:after="0" w:line="240" w:lineRule="auto"/>
        <w:jc w:val="both"/>
        <w:rPr>
          <w:rFonts w:cs="Calibri"/>
          <w:spacing w:val="-2"/>
          <w:szCs w:val="24"/>
          <w:lang w:eastAsia="fr-FR"/>
        </w:rPr>
      </w:pPr>
      <w:r w:rsidRPr="009F702A">
        <w:rPr>
          <w:rFonts w:cs="Calibri"/>
          <w:spacing w:val="-2"/>
          <w:szCs w:val="24"/>
          <w:lang w:eastAsia="fr-FR"/>
        </w:rPr>
        <w:t>Association de Recherche et d’Insertion Sociale des Trisomiques (ARIST) ;</w:t>
      </w:r>
      <w:r w:rsidRPr="009F702A">
        <w:rPr>
          <w:rFonts w:cs="Calibri"/>
          <w:b/>
          <w:spacing w:val="-2"/>
          <w:szCs w:val="24"/>
          <w:lang w:eastAsia="fr-FR"/>
        </w:rPr>
        <w:t xml:space="preserve"> </w:t>
      </w:r>
      <w:r w:rsidRPr="009F702A">
        <w:rPr>
          <w:rFonts w:cs="Calibri"/>
          <w:spacing w:val="-2"/>
          <w:szCs w:val="24"/>
          <w:lang w:eastAsia="fr-FR"/>
        </w:rPr>
        <w:t xml:space="preserve">Professionnels des pôles enfants et adultes de l’ARIST et du réseau de santé ANAÏS ; M. Lachenal (formatrice Makaton). </w:t>
      </w:r>
    </w:p>
    <w:p w:rsidR="00BD5E72" w:rsidRPr="009F702A" w:rsidRDefault="00722979" w:rsidP="002A774C">
      <w:pPr>
        <w:pStyle w:val="Listecouleur-Accent1"/>
        <w:numPr>
          <w:ilvl w:val="0"/>
          <w:numId w:val="1"/>
        </w:numPr>
        <w:spacing w:after="0" w:line="240" w:lineRule="auto"/>
        <w:jc w:val="both"/>
        <w:rPr>
          <w:rFonts w:cs="Calibri"/>
          <w:b/>
          <w:color w:val="4B9941"/>
          <w:sz w:val="24"/>
          <w:szCs w:val="24"/>
        </w:rPr>
      </w:pPr>
      <w:r w:rsidRPr="009F702A">
        <w:rPr>
          <w:rFonts w:cs="Calibri"/>
          <w:b/>
          <w:color w:val="4B9941"/>
          <w:sz w:val="24"/>
          <w:szCs w:val="24"/>
        </w:rPr>
        <w:t xml:space="preserve">Recherche et formation : </w:t>
      </w:r>
    </w:p>
    <w:p w:rsidR="00BD5E72" w:rsidRPr="009F702A" w:rsidRDefault="00722979" w:rsidP="00006F4A">
      <w:pPr>
        <w:spacing w:after="0" w:line="240" w:lineRule="auto"/>
        <w:jc w:val="both"/>
        <w:rPr>
          <w:rFonts w:cs="Calibri"/>
          <w:spacing w:val="-2"/>
          <w:szCs w:val="24"/>
          <w:lang w:eastAsia="fr-FR"/>
        </w:rPr>
      </w:pPr>
      <w:r w:rsidRPr="009F702A">
        <w:rPr>
          <w:rFonts w:cs="Calibri"/>
          <w:spacing w:val="-2"/>
          <w:szCs w:val="24"/>
          <w:lang w:eastAsia="fr-FR"/>
        </w:rPr>
        <w:t xml:space="preserve">J.-M. Colletta (Laboratoire LIDILEM, Université Stendhal, Grenoble) ; </w:t>
      </w:r>
    </w:p>
    <w:p w:rsidR="00BD5E72" w:rsidRPr="009F702A" w:rsidRDefault="00722979" w:rsidP="00006F4A">
      <w:pPr>
        <w:spacing w:after="0" w:line="240" w:lineRule="auto"/>
        <w:jc w:val="both"/>
        <w:rPr>
          <w:rFonts w:cs="Calibri"/>
          <w:spacing w:val="-2"/>
          <w:szCs w:val="24"/>
          <w:lang w:eastAsia="fr-FR"/>
        </w:rPr>
      </w:pPr>
      <w:r w:rsidRPr="009F702A">
        <w:rPr>
          <w:rFonts w:cs="Calibri"/>
          <w:spacing w:val="-2"/>
          <w:szCs w:val="24"/>
          <w:lang w:eastAsia="fr-FR"/>
        </w:rPr>
        <w:t xml:space="preserve">M. Latash (Penn State University, USA) ; </w:t>
      </w:r>
    </w:p>
    <w:p w:rsidR="00BD5E72" w:rsidRPr="009F702A" w:rsidRDefault="00722979" w:rsidP="00006F4A">
      <w:pPr>
        <w:spacing w:after="0" w:line="240" w:lineRule="auto"/>
        <w:jc w:val="both"/>
        <w:rPr>
          <w:rFonts w:cs="Calibri"/>
          <w:spacing w:val="-2"/>
          <w:szCs w:val="24"/>
          <w:lang w:eastAsia="fr-FR"/>
        </w:rPr>
      </w:pPr>
      <w:r w:rsidRPr="009F702A">
        <w:rPr>
          <w:rFonts w:cs="Calibri"/>
          <w:spacing w:val="-2"/>
          <w:szCs w:val="24"/>
          <w:lang w:eastAsia="fr-FR"/>
        </w:rPr>
        <w:t xml:space="preserve">L. Ménard (UQAM et Hôpital Sainte-Justine, Québec) ; </w:t>
      </w:r>
    </w:p>
    <w:p w:rsidR="00722979" w:rsidRPr="009F702A" w:rsidRDefault="00722979" w:rsidP="00006F4A">
      <w:pPr>
        <w:spacing w:after="0" w:line="240" w:lineRule="auto"/>
        <w:jc w:val="both"/>
        <w:rPr>
          <w:rFonts w:cs="Calibri"/>
          <w:spacing w:val="-2"/>
          <w:szCs w:val="24"/>
          <w:lang w:eastAsia="fr-FR"/>
        </w:rPr>
      </w:pPr>
      <w:r w:rsidRPr="009F702A">
        <w:rPr>
          <w:rFonts w:cs="Calibri"/>
          <w:spacing w:val="-2"/>
          <w:szCs w:val="24"/>
          <w:lang w:eastAsia="fr-FR"/>
        </w:rPr>
        <w:t xml:space="preserve">A. Witko (Université Lyon 1, Orthophoniste). </w:t>
      </w:r>
    </w:p>
    <w:p w:rsidR="002A774C" w:rsidRPr="009F702A" w:rsidRDefault="002A774C">
      <w:pPr>
        <w:rPr>
          <w:rFonts w:cs="Calibri"/>
          <w:b/>
          <w:color w:val="4B9941"/>
          <w:sz w:val="24"/>
          <w:szCs w:val="24"/>
        </w:rPr>
      </w:pPr>
      <w:r w:rsidRPr="009F702A">
        <w:rPr>
          <w:rFonts w:cs="Calibri"/>
          <w:b/>
          <w:color w:val="4B9941"/>
          <w:sz w:val="24"/>
          <w:szCs w:val="24"/>
        </w:rPr>
        <w:br w:type="page"/>
      </w:r>
    </w:p>
    <w:p w:rsidR="009C6CC5" w:rsidRPr="009F702A" w:rsidRDefault="009C6CC5" w:rsidP="009F702A">
      <w:pPr>
        <w:pBdr>
          <w:top w:val="single" w:sz="4" w:space="1" w:color="156117"/>
          <w:left w:val="single" w:sz="4" w:space="4" w:color="156117"/>
          <w:bottom w:val="single" w:sz="4" w:space="1" w:color="156117"/>
          <w:right w:val="single" w:sz="4" w:space="4" w:color="156117"/>
        </w:pBdr>
        <w:shd w:val="clear" w:color="auto" w:fill="D6E3BC"/>
        <w:spacing w:after="0"/>
        <w:ind w:firstLine="708"/>
        <w:rPr>
          <w:rFonts w:cs="Calibri"/>
          <w:b/>
          <w:color w:val="4B9941"/>
          <w:sz w:val="24"/>
          <w:szCs w:val="24"/>
        </w:rPr>
      </w:pPr>
      <w:r w:rsidRPr="009F702A">
        <w:rPr>
          <w:rFonts w:cs="Calibri"/>
          <w:b/>
          <w:color w:val="4B9941"/>
          <w:sz w:val="24"/>
          <w:szCs w:val="24"/>
        </w:rPr>
        <w:t>LES RESULTATS ATTENDUS</w:t>
      </w:r>
    </w:p>
    <w:p w:rsidR="002A774C" w:rsidRPr="009F702A" w:rsidRDefault="002A774C" w:rsidP="00403EE9">
      <w:pPr>
        <w:spacing w:before="60" w:after="0" w:line="240" w:lineRule="auto"/>
        <w:jc w:val="both"/>
        <w:rPr>
          <w:rFonts w:cs="Calibri"/>
          <w:spacing w:val="-2"/>
          <w:szCs w:val="24"/>
          <w:lang w:eastAsia="fr-FR"/>
        </w:rPr>
      </w:pPr>
    </w:p>
    <w:p w:rsidR="00987F6B" w:rsidRPr="009F702A" w:rsidRDefault="00987F6B" w:rsidP="00403EE9">
      <w:pPr>
        <w:spacing w:before="60" w:after="0" w:line="240" w:lineRule="auto"/>
        <w:jc w:val="both"/>
        <w:rPr>
          <w:rFonts w:cs="Calibri"/>
          <w:spacing w:val="-2"/>
          <w:szCs w:val="24"/>
          <w:lang w:eastAsia="fr-FR"/>
        </w:rPr>
      </w:pPr>
      <w:r w:rsidRPr="009F702A">
        <w:rPr>
          <w:rFonts w:cs="Calibri"/>
          <w:spacing w:val="-2"/>
          <w:szCs w:val="24"/>
          <w:lang w:eastAsia="fr-FR"/>
        </w:rPr>
        <w:t>Les compétences scientifiques des partenaires sont multidisciplinaires (psychologie, sciences de la parole, linguistique, cognition, traitement du signal, i</w:t>
      </w:r>
      <w:r w:rsidR="007A63FC" w:rsidRPr="009F702A">
        <w:rPr>
          <w:rFonts w:cs="Calibri"/>
          <w:spacing w:val="-2"/>
          <w:szCs w:val="24"/>
          <w:lang w:eastAsia="fr-FR"/>
        </w:rPr>
        <w:t>nformatique et contrôle moteur)</w:t>
      </w:r>
      <w:r w:rsidRPr="009F702A">
        <w:rPr>
          <w:rFonts w:cs="Calibri"/>
          <w:spacing w:val="-2"/>
          <w:szCs w:val="24"/>
          <w:lang w:eastAsia="fr-FR"/>
        </w:rPr>
        <w:t xml:space="preserve">. Ces compétences et méthodes seront appliquées pour en créer de nouvelles et évaluer des solutions pour améliorer la communication des personnes T21. Elles seront aussi diffusées aux personnes souffrant de troubles de la parole d’étiologies diverses. </w:t>
      </w:r>
    </w:p>
    <w:p w:rsidR="00987F6B" w:rsidRPr="009F702A" w:rsidRDefault="00987F6B" w:rsidP="00403EE9">
      <w:pPr>
        <w:spacing w:before="120" w:after="0" w:line="240" w:lineRule="auto"/>
        <w:jc w:val="both"/>
        <w:rPr>
          <w:rFonts w:cs="Calibri"/>
          <w:b/>
          <w:color w:val="4B9941"/>
          <w:sz w:val="24"/>
          <w:szCs w:val="24"/>
        </w:rPr>
      </w:pPr>
      <w:r w:rsidRPr="009F702A">
        <w:rPr>
          <w:rFonts w:cs="Calibri"/>
          <w:b/>
          <w:color w:val="4B9941"/>
          <w:sz w:val="24"/>
          <w:szCs w:val="24"/>
        </w:rPr>
        <w:t xml:space="preserve">Axe 1. Enquête : que vivent les gens au quotidien, en France et ailleurs ? </w:t>
      </w:r>
    </w:p>
    <w:p w:rsidR="00987F6B" w:rsidRPr="009F702A" w:rsidRDefault="00987F6B" w:rsidP="00403EE9">
      <w:pPr>
        <w:spacing w:after="0" w:line="240" w:lineRule="auto"/>
        <w:jc w:val="both"/>
        <w:rPr>
          <w:rFonts w:cs="Calibri"/>
          <w:spacing w:val="-2"/>
          <w:szCs w:val="24"/>
          <w:lang w:eastAsia="fr-FR"/>
        </w:rPr>
      </w:pPr>
      <w:r w:rsidRPr="009F702A">
        <w:rPr>
          <w:rFonts w:cs="Calibri"/>
          <w:spacing w:val="-2"/>
          <w:szCs w:val="24"/>
          <w:lang w:eastAsia="fr-FR"/>
        </w:rPr>
        <w:t>Un format d’enquête diffusable dans les pays francophones sera développé. Ces enquêtes pourront être remplies via un formulaire dynamique sur internet également imprimable</w:t>
      </w:r>
      <w:r w:rsidR="00945ACC" w:rsidRPr="009F702A">
        <w:rPr>
          <w:rFonts w:cs="Calibri"/>
          <w:spacing w:val="-2"/>
          <w:szCs w:val="24"/>
          <w:lang w:eastAsia="fr-FR"/>
        </w:rPr>
        <w:t>.</w:t>
      </w:r>
    </w:p>
    <w:p w:rsidR="00987F6B" w:rsidRPr="009F702A" w:rsidRDefault="00987F6B" w:rsidP="00403EE9">
      <w:pPr>
        <w:spacing w:before="120" w:after="0" w:line="240" w:lineRule="auto"/>
        <w:jc w:val="both"/>
        <w:rPr>
          <w:rFonts w:cs="Calibri"/>
          <w:b/>
          <w:color w:val="4B9941"/>
          <w:sz w:val="24"/>
          <w:szCs w:val="24"/>
        </w:rPr>
      </w:pPr>
      <w:r w:rsidRPr="009F702A">
        <w:rPr>
          <w:rFonts w:cs="Calibri"/>
          <w:b/>
          <w:color w:val="4B9941"/>
          <w:sz w:val="24"/>
          <w:szCs w:val="24"/>
        </w:rPr>
        <w:t>Axe 2. Communication parlée et adaptation interpersonnelle</w:t>
      </w:r>
    </w:p>
    <w:p w:rsidR="00987F6B" w:rsidRPr="009F702A" w:rsidRDefault="00987F6B" w:rsidP="00403EE9">
      <w:pPr>
        <w:spacing w:after="0" w:line="240" w:lineRule="auto"/>
        <w:jc w:val="both"/>
        <w:rPr>
          <w:rFonts w:cs="Calibri"/>
          <w:spacing w:val="-2"/>
          <w:szCs w:val="24"/>
          <w:lang w:eastAsia="fr-FR"/>
        </w:rPr>
      </w:pPr>
      <w:r w:rsidRPr="009F702A">
        <w:rPr>
          <w:rFonts w:cs="Calibri"/>
          <w:spacing w:val="-2"/>
          <w:szCs w:val="24"/>
          <w:lang w:eastAsia="fr-FR"/>
        </w:rPr>
        <w:t xml:space="preserve">Ce deuxième axe vise à comprendre et définir des stratégies et situations permettant d’améliorer la communication entre personnes T21 et « ordinaires ». </w:t>
      </w:r>
    </w:p>
    <w:p w:rsidR="00B63159" w:rsidRPr="009F702A" w:rsidRDefault="00987F6B" w:rsidP="00B63159">
      <w:pPr>
        <w:pStyle w:val="Listecouleur-Accent1"/>
        <w:numPr>
          <w:ilvl w:val="0"/>
          <w:numId w:val="1"/>
        </w:numPr>
        <w:spacing w:before="60" w:after="0" w:line="240" w:lineRule="auto"/>
        <w:rPr>
          <w:rFonts w:cs="Calibri"/>
          <w:spacing w:val="-2"/>
          <w:szCs w:val="24"/>
          <w:lang w:eastAsia="fr-FR"/>
        </w:rPr>
      </w:pPr>
      <w:r w:rsidRPr="009F702A">
        <w:rPr>
          <w:rFonts w:cs="Calibri"/>
          <w:b/>
          <w:bCs/>
          <w:spacing w:val="-2"/>
          <w:szCs w:val="24"/>
          <w:u w:val="single"/>
          <w:lang w:eastAsia="fr-FR"/>
        </w:rPr>
        <w:t>Eva</w:t>
      </w:r>
      <w:r w:rsidR="00041C4A" w:rsidRPr="009F702A">
        <w:rPr>
          <w:rFonts w:cs="Calibri"/>
          <w:b/>
          <w:bCs/>
          <w:spacing w:val="-2"/>
          <w:szCs w:val="24"/>
          <w:u w:val="single"/>
          <w:lang w:eastAsia="fr-FR"/>
        </w:rPr>
        <w:t>luation subjective de la parole</w:t>
      </w:r>
      <w:r w:rsidR="00041C4A" w:rsidRPr="009F702A">
        <w:rPr>
          <w:rFonts w:cs="Calibri"/>
          <w:b/>
          <w:bCs/>
          <w:spacing w:val="-2"/>
          <w:szCs w:val="24"/>
          <w:lang w:eastAsia="fr-FR"/>
        </w:rPr>
        <w:t> </w:t>
      </w:r>
      <w:r w:rsidR="00041C4A" w:rsidRPr="009F702A">
        <w:rPr>
          <w:rFonts w:cs="Calibri"/>
          <w:spacing w:val="-2"/>
          <w:szCs w:val="24"/>
          <w:lang w:eastAsia="fr-FR"/>
        </w:rPr>
        <w:t>:</w:t>
      </w:r>
      <w:r w:rsidRPr="009F702A">
        <w:rPr>
          <w:rFonts w:cs="Calibri"/>
          <w:spacing w:val="-2"/>
          <w:szCs w:val="24"/>
          <w:lang w:eastAsia="fr-FR"/>
        </w:rPr>
        <w:t xml:space="preserve"> pour déterminer (a) les facteurs contextuels qui facilitent ou inhibent leur communication et (b) leurs attentes et appréhensions pour communiquer avec</w:t>
      </w:r>
      <w:r w:rsidR="00D743E9" w:rsidRPr="009F702A">
        <w:rPr>
          <w:rFonts w:cs="Calibri"/>
          <w:spacing w:val="-2"/>
          <w:szCs w:val="24"/>
          <w:lang w:eastAsia="fr-FR"/>
        </w:rPr>
        <w:t xml:space="preserve"> une personne </w:t>
      </w:r>
      <w:r w:rsidRPr="009F702A">
        <w:rPr>
          <w:rFonts w:cs="Calibri"/>
          <w:spacing w:val="-2"/>
          <w:szCs w:val="24"/>
          <w:lang w:eastAsia="fr-FR"/>
        </w:rPr>
        <w:t xml:space="preserve">inconnue. </w:t>
      </w:r>
    </w:p>
    <w:p w:rsidR="00B63159" w:rsidRPr="009F702A" w:rsidRDefault="00987F6B" w:rsidP="00B63159">
      <w:pPr>
        <w:pStyle w:val="Listecouleur-Accent1"/>
        <w:numPr>
          <w:ilvl w:val="0"/>
          <w:numId w:val="1"/>
        </w:numPr>
        <w:spacing w:before="60" w:after="0" w:line="240" w:lineRule="auto"/>
        <w:rPr>
          <w:rFonts w:cs="Calibri"/>
          <w:spacing w:val="-2"/>
          <w:szCs w:val="24"/>
          <w:lang w:eastAsia="fr-FR"/>
        </w:rPr>
      </w:pPr>
      <w:r w:rsidRPr="009F702A">
        <w:rPr>
          <w:rFonts w:cs="Calibri"/>
          <w:b/>
          <w:bCs/>
          <w:spacing w:val="-2"/>
          <w:szCs w:val="24"/>
          <w:u w:val="single"/>
          <w:lang w:eastAsia="fr-FR"/>
        </w:rPr>
        <w:t>Evaluation objective de la parole</w:t>
      </w:r>
      <w:r w:rsidR="00041C4A" w:rsidRPr="009F702A">
        <w:rPr>
          <w:rFonts w:cs="Calibri"/>
          <w:b/>
          <w:bCs/>
          <w:spacing w:val="-2"/>
          <w:szCs w:val="24"/>
          <w:u w:val="single"/>
          <w:lang w:eastAsia="fr-FR"/>
        </w:rPr>
        <w:t> </w:t>
      </w:r>
      <w:r w:rsidR="00041C4A" w:rsidRPr="009F702A">
        <w:rPr>
          <w:rFonts w:cs="Calibri"/>
          <w:b/>
          <w:spacing w:val="-2"/>
          <w:szCs w:val="24"/>
          <w:u w:val="single"/>
          <w:lang w:eastAsia="fr-FR"/>
        </w:rPr>
        <w:t>:</w:t>
      </w:r>
      <w:r w:rsidRPr="009F702A">
        <w:rPr>
          <w:rFonts w:cs="Calibri"/>
          <w:spacing w:val="-2"/>
          <w:szCs w:val="24"/>
          <w:lang w:eastAsia="fr-FR"/>
        </w:rPr>
        <w:t xml:space="preserve"> pour déterminer et comparer les caractéristiques acoustiques et visuelles de la parole des personnes T21 et « ordinaires ». </w:t>
      </w:r>
    </w:p>
    <w:p w:rsidR="00B63159" w:rsidRPr="009F702A" w:rsidRDefault="00987F6B" w:rsidP="00B63159">
      <w:pPr>
        <w:pStyle w:val="Listecouleur-Accent1"/>
        <w:numPr>
          <w:ilvl w:val="0"/>
          <w:numId w:val="1"/>
        </w:numPr>
        <w:spacing w:before="60" w:after="0" w:line="240" w:lineRule="auto"/>
        <w:rPr>
          <w:rFonts w:cs="Calibri"/>
          <w:spacing w:val="-2"/>
          <w:szCs w:val="24"/>
          <w:lang w:eastAsia="fr-FR"/>
        </w:rPr>
      </w:pPr>
      <w:r w:rsidRPr="009F702A">
        <w:rPr>
          <w:rFonts w:cs="Calibri"/>
          <w:b/>
          <w:spacing w:val="-2"/>
          <w:szCs w:val="24"/>
          <w:u w:val="single"/>
          <w:lang w:eastAsia="fr-FR"/>
        </w:rPr>
        <w:t>Perception multimodal</w:t>
      </w:r>
      <w:r w:rsidR="00041C4A" w:rsidRPr="009F702A">
        <w:rPr>
          <w:rFonts w:cs="Calibri"/>
          <w:b/>
          <w:spacing w:val="-2"/>
          <w:szCs w:val="24"/>
          <w:u w:val="single"/>
          <w:lang w:eastAsia="fr-FR"/>
        </w:rPr>
        <w:t>e </w:t>
      </w:r>
      <w:r w:rsidR="00041C4A" w:rsidRPr="009F702A">
        <w:rPr>
          <w:rFonts w:cs="Calibri"/>
          <w:spacing w:val="-2"/>
          <w:szCs w:val="24"/>
          <w:lang w:eastAsia="fr-FR"/>
        </w:rPr>
        <w:t xml:space="preserve">: pour évaluer </w:t>
      </w:r>
      <w:r w:rsidRPr="009F702A">
        <w:rPr>
          <w:rFonts w:cs="Calibri"/>
          <w:spacing w:val="-2"/>
          <w:szCs w:val="24"/>
          <w:lang w:eastAsia="fr-FR"/>
        </w:rPr>
        <w:t>comment est perçue la parole des participants T21 et plus particulièrement, le</w:t>
      </w:r>
      <w:r w:rsidR="00987A34" w:rsidRPr="009F702A">
        <w:rPr>
          <w:rFonts w:cs="Calibri"/>
          <w:spacing w:val="-2"/>
          <w:szCs w:val="24"/>
          <w:lang w:eastAsia="fr-FR"/>
        </w:rPr>
        <w:t xml:space="preserve"> rôle de l’information visuelle.</w:t>
      </w:r>
    </w:p>
    <w:p w:rsidR="00B63159" w:rsidRPr="009F702A" w:rsidRDefault="00987F6B" w:rsidP="00B63159">
      <w:pPr>
        <w:pStyle w:val="Listecouleur-Accent1"/>
        <w:numPr>
          <w:ilvl w:val="0"/>
          <w:numId w:val="1"/>
        </w:numPr>
        <w:spacing w:before="60" w:after="0" w:line="240" w:lineRule="auto"/>
        <w:rPr>
          <w:rFonts w:cs="Calibri"/>
          <w:spacing w:val="-2"/>
          <w:szCs w:val="24"/>
          <w:lang w:eastAsia="fr-FR"/>
        </w:rPr>
      </w:pPr>
      <w:r w:rsidRPr="009F702A">
        <w:rPr>
          <w:rFonts w:cs="Calibri"/>
          <w:b/>
          <w:spacing w:val="-2"/>
          <w:szCs w:val="24"/>
          <w:u w:val="single"/>
          <w:lang w:eastAsia="fr-FR"/>
        </w:rPr>
        <w:t>Interaction spontanée : adaptation, évolution et généralisation</w:t>
      </w:r>
      <w:r w:rsidR="00B63159" w:rsidRPr="009F702A">
        <w:rPr>
          <w:rFonts w:cs="Calibri"/>
          <w:b/>
          <w:spacing w:val="-2"/>
          <w:szCs w:val="24"/>
          <w:u w:val="single"/>
          <w:lang w:eastAsia="fr-FR"/>
        </w:rPr>
        <w:t xml:space="preserve"> : </w:t>
      </w:r>
      <w:r w:rsidRPr="009F702A">
        <w:rPr>
          <w:rFonts w:cs="Calibri"/>
          <w:spacing w:val="-2"/>
          <w:szCs w:val="24"/>
          <w:lang w:eastAsia="fr-FR"/>
        </w:rPr>
        <w:t>pour comprendre les adaptions mutuelles durant : (a) un dialogue libre et (b) un jeu collaboratif puis (c) évaluer la progression et la généralisation</w:t>
      </w:r>
      <w:r w:rsidR="00103389" w:rsidRPr="009F702A">
        <w:rPr>
          <w:rFonts w:cs="Calibri"/>
          <w:spacing w:val="-2"/>
          <w:szCs w:val="24"/>
          <w:lang w:eastAsia="fr-FR"/>
        </w:rPr>
        <w:t xml:space="preserve"> des stratégies communicatives.</w:t>
      </w:r>
    </w:p>
    <w:p w:rsidR="00B63159" w:rsidRPr="009F702A" w:rsidRDefault="00987F6B" w:rsidP="00B63159">
      <w:pPr>
        <w:pStyle w:val="Listecouleur-Accent1"/>
        <w:numPr>
          <w:ilvl w:val="0"/>
          <w:numId w:val="1"/>
        </w:numPr>
        <w:spacing w:before="60" w:after="0" w:line="240" w:lineRule="auto"/>
        <w:rPr>
          <w:rFonts w:cs="Calibri"/>
          <w:spacing w:val="-2"/>
          <w:szCs w:val="24"/>
          <w:lang w:eastAsia="fr-FR"/>
        </w:rPr>
      </w:pPr>
      <w:r w:rsidRPr="009F702A">
        <w:rPr>
          <w:rFonts w:cs="Calibri"/>
          <w:b/>
          <w:spacing w:val="-2"/>
          <w:szCs w:val="24"/>
          <w:u w:val="single"/>
          <w:lang w:eastAsia="fr-FR"/>
        </w:rPr>
        <w:t xml:space="preserve">Effet de la familiarisation à la parole des </w:t>
      </w:r>
      <w:r w:rsidR="00B63159" w:rsidRPr="009F702A">
        <w:rPr>
          <w:rFonts w:cs="Calibri"/>
          <w:b/>
          <w:spacing w:val="-2"/>
          <w:szCs w:val="24"/>
          <w:u w:val="single"/>
          <w:lang w:eastAsia="fr-FR"/>
        </w:rPr>
        <w:t>personnes T21 sur sa perception :</w:t>
      </w:r>
      <w:r w:rsidR="00B63159" w:rsidRPr="009F702A">
        <w:rPr>
          <w:rFonts w:cs="Calibri"/>
          <w:spacing w:val="-2"/>
          <w:szCs w:val="24"/>
          <w:lang w:eastAsia="fr-FR"/>
        </w:rPr>
        <w:t xml:space="preserve"> </w:t>
      </w:r>
      <w:r w:rsidR="00D22DF6" w:rsidRPr="009F702A">
        <w:rPr>
          <w:rFonts w:cs="Calibri"/>
          <w:spacing w:val="-2"/>
          <w:szCs w:val="24"/>
          <w:lang w:eastAsia="fr-FR"/>
        </w:rPr>
        <w:t>p</w:t>
      </w:r>
      <w:r w:rsidR="003F6752" w:rsidRPr="009F702A">
        <w:rPr>
          <w:rFonts w:cs="Calibri"/>
          <w:spacing w:val="-2"/>
          <w:szCs w:val="24"/>
          <w:lang w:eastAsia="fr-FR"/>
        </w:rPr>
        <w:t>our évaluer</w:t>
      </w:r>
      <w:r w:rsidR="003F6752" w:rsidRPr="009F702A">
        <w:rPr>
          <w:rFonts w:cs="Calibri"/>
          <w:b/>
          <w:spacing w:val="-2"/>
          <w:szCs w:val="24"/>
          <w:lang w:eastAsia="fr-FR"/>
        </w:rPr>
        <w:t xml:space="preserve"> </w:t>
      </w:r>
      <w:r w:rsidRPr="009F702A">
        <w:rPr>
          <w:rFonts w:cs="Calibri"/>
          <w:spacing w:val="-2"/>
          <w:szCs w:val="24"/>
          <w:lang w:eastAsia="fr-FR"/>
        </w:rPr>
        <w:t>si la visualisation d’un petit film peut modifier (a) la manière don</w:t>
      </w:r>
      <w:r w:rsidR="008D533F" w:rsidRPr="009F702A">
        <w:rPr>
          <w:rFonts w:cs="Calibri"/>
          <w:spacing w:val="-2"/>
          <w:szCs w:val="24"/>
          <w:lang w:eastAsia="fr-FR"/>
        </w:rPr>
        <w:t xml:space="preserve">t les personnes « ordinaires » </w:t>
      </w:r>
      <w:r w:rsidRPr="009F702A">
        <w:rPr>
          <w:rFonts w:cs="Calibri"/>
          <w:spacing w:val="-2"/>
          <w:szCs w:val="24"/>
          <w:lang w:eastAsia="fr-FR"/>
        </w:rPr>
        <w:t>perçoivent la parole des personnes T21 et/ou (b) les interactions entre personnes T</w:t>
      </w:r>
      <w:r w:rsidR="00180575" w:rsidRPr="009F702A">
        <w:rPr>
          <w:rFonts w:cs="Calibri"/>
          <w:spacing w:val="-2"/>
          <w:szCs w:val="24"/>
          <w:lang w:eastAsia="fr-FR"/>
        </w:rPr>
        <w:t xml:space="preserve">21 et personnes « ordinaires ». </w:t>
      </w:r>
    </w:p>
    <w:p w:rsidR="00B63159" w:rsidRPr="009F702A" w:rsidRDefault="00B63159" w:rsidP="00B63159">
      <w:pPr>
        <w:spacing w:before="60" w:after="0" w:line="240" w:lineRule="auto"/>
        <w:rPr>
          <w:rFonts w:cs="Calibri"/>
          <w:b/>
          <w:spacing w:val="-2"/>
          <w:szCs w:val="24"/>
          <w:u w:val="single"/>
          <w:lang w:eastAsia="fr-FR"/>
        </w:rPr>
      </w:pPr>
    </w:p>
    <w:p w:rsidR="00987F6B" w:rsidRPr="009F702A" w:rsidRDefault="00987F6B" w:rsidP="00B63159">
      <w:pPr>
        <w:spacing w:before="60" w:after="0" w:line="240" w:lineRule="auto"/>
        <w:rPr>
          <w:rFonts w:cs="Calibri"/>
          <w:spacing w:val="-2"/>
          <w:szCs w:val="24"/>
          <w:lang w:eastAsia="fr-FR"/>
        </w:rPr>
      </w:pPr>
      <w:r w:rsidRPr="009F702A">
        <w:rPr>
          <w:rFonts w:cs="Calibri"/>
          <w:b/>
          <w:color w:val="4B9941"/>
          <w:sz w:val="24"/>
          <w:szCs w:val="24"/>
        </w:rPr>
        <w:t>Axe 3. La gestualité co-verbale pour</w:t>
      </w:r>
      <w:r w:rsidR="00535D6A" w:rsidRPr="009F702A">
        <w:rPr>
          <w:rFonts w:cs="Calibri"/>
          <w:b/>
          <w:color w:val="4B9941"/>
          <w:sz w:val="24"/>
          <w:szCs w:val="24"/>
        </w:rPr>
        <w:t xml:space="preserve"> aider la communication parlée </w:t>
      </w:r>
      <w:r w:rsidRPr="009F702A">
        <w:rPr>
          <w:rFonts w:cs="Calibri"/>
          <w:b/>
          <w:spacing w:val="-2"/>
          <w:szCs w:val="24"/>
          <w:u w:val="single"/>
          <w:lang w:eastAsia="fr-FR"/>
        </w:rPr>
        <w:br/>
      </w:r>
      <w:r w:rsidRPr="009F702A">
        <w:rPr>
          <w:rFonts w:cs="Calibri"/>
          <w:spacing w:val="-2"/>
          <w:szCs w:val="24"/>
          <w:lang w:eastAsia="fr-FR"/>
        </w:rPr>
        <w:t>Cet axe portera sur l’effet de l’implication du geste manuel dans l’acquisition de la parole par l’enfa</w:t>
      </w:r>
      <w:r w:rsidR="00B20135" w:rsidRPr="009F702A">
        <w:rPr>
          <w:rFonts w:cs="Calibri"/>
          <w:spacing w:val="-2"/>
          <w:szCs w:val="24"/>
          <w:lang w:eastAsia="fr-FR"/>
        </w:rPr>
        <w:t xml:space="preserve">nt T21 </w:t>
      </w:r>
      <w:r w:rsidRPr="009F702A">
        <w:rPr>
          <w:rFonts w:cs="Calibri"/>
          <w:spacing w:val="-2"/>
          <w:szCs w:val="24"/>
          <w:lang w:eastAsia="fr-FR"/>
        </w:rPr>
        <w:t>et dans la commun</w:t>
      </w:r>
      <w:r w:rsidR="00B20135" w:rsidRPr="009F702A">
        <w:rPr>
          <w:rFonts w:cs="Calibri"/>
          <w:spacing w:val="-2"/>
          <w:szCs w:val="24"/>
          <w:lang w:eastAsia="fr-FR"/>
        </w:rPr>
        <w:t>ication chez l’adulte T21.</w:t>
      </w:r>
      <w:r w:rsidRPr="009F702A">
        <w:rPr>
          <w:rFonts w:cs="Calibri"/>
          <w:spacing w:val="-2"/>
          <w:szCs w:val="24"/>
          <w:lang w:eastAsia="fr-FR"/>
        </w:rPr>
        <w:t xml:space="preserve"> </w:t>
      </w:r>
    </w:p>
    <w:p w:rsidR="00F71D43" w:rsidRPr="009F702A" w:rsidRDefault="00987F6B" w:rsidP="00403EE9">
      <w:pPr>
        <w:pStyle w:val="Listecouleur-Accent1"/>
        <w:numPr>
          <w:ilvl w:val="0"/>
          <w:numId w:val="2"/>
        </w:numPr>
        <w:spacing w:before="60" w:after="0" w:line="240" w:lineRule="auto"/>
        <w:jc w:val="both"/>
        <w:rPr>
          <w:rFonts w:cs="Calibri"/>
          <w:spacing w:val="-2"/>
          <w:szCs w:val="24"/>
          <w:lang w:eastAsia="fr-FR"/>
        </w:rPr>
      </w:pPr>
      <w:r w:rsidRPr="009F702A">
        <w:rPr>
          <w:rFonts w:cs="Calibri"/>
          <w:b/>
          <w:spacing w:val="-2"/>
          <w:szCs w:val="24"/>
          <w:u w:val="single"/>
          <w:lang w:eastAsia="fr-FR"/>
        </w:rPr>
        <w:t>Le geste manuel pour aider les enfants T21 à apprendre à parler.</w:t>
      </w:r>
      <w:r w:rsidRPr="009F702A">
        <w:rPr>
          <w:rFonts w:cs="Calibri"/>
          <w:spacing w:val="-2"/>
          <w:szCs w:val="24"/>
          <w:u w:val="single"/>
          <w:lang w:eastAsia="fr-FR"/>
        </w:rPr>
        <w:t xml:space="preserve"> </w:t>
      </w:r>
    </w:p>
    <w:p w:rsidR="003F617B" w:rsidRPr="009F702A" w:rsidRDefault="00081DC5" w:rsidP="00F71D43">
      <w:pPr>
        <w:spacing w:before="60" w:after="0" w:line="240" w:lineRule="auto"/>
        <w:jc w:val="both"/>
        <w:rPr>
          <w:rFonts w:cs="Calibri"/>
          <w:spacing w:val="-2"/>
          <w:szCs w:val="24"/>
          <w:lang w:eastAsia="fr-FR"/>
        </w:rPr>
      </w:pPr>
      <w:r w:rsidRPr="009F702A">
        <w:rPr>
          <w:rFonts w:cs="Calibri"/>
          <w:spacing w:val="-2"/>
          <w:szCs w:val="24"/>
          <w:lang w:eastAsia="fr-FR"/>
        </w:rPr>
        <w:t>Evaluer</w:t>
      </w:r>
      <w:r w:rsidR="00987F6B" w:rsidRPr="009F702A">
        <w:rPr>
          <w:rFonts w:cs="Calibri"/>
          <w:spacing w:val="-2"/>
          <w:szCs w:val="24"/>
          <w:lang w:eastAsia="fr-FR"/>
        </w:rPr>
        <w:t xml:space="preserve"> l’apport de la gestualité manuelle dans l’apprentissage lexi</w:t>
      </w:r>
      <w:r w:rsidR="00DE5E53" w:rsidRPr="009F702A">
        <w:rPr>
          <w:rFonts w:cs="Calibri"/>
          <w:spacing w:val="-2"/>
          <w:szCs w:val="24"/>
          <w:lang w:eastAsia="fr-FR"/>
        </w:rPr>
        <w:t xml:space="preserve">cal par une étude longitudinale. </w:t>
      </w:r>
      <w:r w:rsidR="00987F6B" w:rsidRPr="009F702A">
        <w:rPr>
          <w:rFonts w:cs="Calibri"/>
          <w:spacing w:val="-2"/>
          <w:szCs w:val="24"/>
          <w:lang w:eastAsia="fr-FR"/>
        </w:rPr>
        <w:t>Le</w:t>
      </w:r>
      <w:r w:rsidR="00B20135" w:rsidRPr="009F702A">
        <w:rPr>
          <w:rFonts w:cs="Calibri"/>
          <w:spacing w:val="-2"/>
          <w:szCs w:val="24"/>
          <w:lang w:eastAsia="fr-FR"/>
        </w:rPr>
        <w:t>s enfants T21 suivis (4 à 7 ans</w:t>
      </w:r>
      <w:r w:rsidR="00987F6B" w:rsidRPr="009F702A">
        <w:rPr>
          <w:rFonts w:cs="Calibri"/>
          <w:spacing w:val="-2"/>
          <w:szCs w:val="24"/>
          <w:lang w:eastAsia="fr-FR"/>
        </w:rPr>
        <w:t>) seront impliqués dans un jeu avec des objets (ou images) de personnages, de leurs habitats et de leurs véhicules ayant des caractéristiques amusantes pouvant être « mimées » par le geste manuel. A chaque séance, on évaluera l’appren</w:t>
      </w:r>
      <w:r w:rsidR="00F1652A" w:rsidRPr="009F702A">
        <w:rPr>
          <w:rFonts w:cs="Calibri"/>
          <w:spacing w:val="-2"/>
          <w:szCs w:val="24"/>
          <w:lang w:eastAsia="fr-FR"/>
        </w:rPr>
        <w:t xml:space="preserve">tissage par une tâche de rappel. </w:t>
      </w:r>
      <w:r w:rsidR="00987F6B" w:rsidRPr="009F702A">
        <w:rPr>
          <w:rFonts w:cs="Calibri"/>
          <w:spacing w:val="-2"/>
          <w:szCs w:val="24"/>
          <w:lang w:eastAsia="fr-FR"/>
        </w:rPr>
        <w:t xml:space="preserve">Les analyses des gestes et de la parole se feront sur la base d’enregistrements audio-vidéo des séances. </w:t>
      </w:r>
    </w:p>
    <w:p w:rsidR="00F71D43" w:rsidRPr="009F702A" w:rsidRDefault="00987F6B" w:rsidP="00403EE9">
      <w:pPr>
        <w:pStyle w:val="Listecouleur-Accent1"/>
        <w:numPr>
          <w:ilvl w:val="0"/>
          <w:numId w:val="2"/>
        </w:numPr>
        <w:spacing w:before="60" w:after="0" w:line="240" w:lineRule="auto"/>
        <w:jc w:val="both"/>
        <w:rPr>
          <w:rFonts w:cs="Calibri"/>
          <w:spacing w:val="-2"/>
          <w:szCs w:val="24"/>
          <w:lang w:eastAsia="fr-FR"/>
        </w:rPr>
      </w:pPr>
      <w:r w:rsidRPr="009F702A">
        <w:rPr>
          <w:rFonts w:cs="Calibri"/>
          <w:b/>
          <w:spacing w:val="-2"/>
          <w:szCs w:val="24"/>
          <w:u w:val="single"/>
          <w:lang w:eastAsia="fr-FR"/>
        </w:rPr>
        <w:t>Le geste manuel dans la communication parlée des adultes porteurs de T21.</w:t>
      </w:r>
      <w:r w:rsidRPr="009F702A">
        <w:rPr>
          <w:rFonts w:cs="Calibri"/>
          <w:spacing w:val="-2"/>
          <w:szCs w:val="24"/>
          <w:lang w:eastAsia="fr-FR"/>
        </w:rPr>
        <w:t xml:space="preserve"> </w:t>
      </w:r>
    </w:p>
    <w:p w:rsidR="00987F6B" w:rsidRPr="009F702A" w:rsidRDefault="00987F6B" w:rsidP="00F71D43">
      <w:pPr>
        <w:spacing w:before="60" w:after="0" w:line="240" w:lineRule="auto"/>
        <w:jc w:val="both"/>
        <w:rPr>
          <w:rFonts w:cs="Calibri"/>
          <w:spacing w:val="-2"/>
          <w:szCs w:val="24"/>
          <w:lang w:eastAsia="fr-FR"/>
        </w:rPr>
      </w:pPr>
      <w:r w:rsidRPr="009F702A">
        <w:rPr>
          <w:rFonts w:cs="Calibri"/>
          <w:spacing w:val="-2"/>
          <w:szCs w:val="24"/>
          <w:lang w:eastAsia="fr-FR"/>
        </w:rPr>
        <w:t>Cette dernière tâche visera à déterminer : (1) si les adultes T21 compensent en partie leurs déficits de parole par l’utilisation de la gestualité manuelle même quand ils n’ont pa</w:t>
      </w:r>
      <w:r w:rsidR="006C6121" w:rsidRPr="009F702A">
        <w:rPr>
          <w:rFonts w:cs="Calibri"/>
          <w:spacing w:val="-2"/>
          <w:szCs w:val="24"/>
          <w:lang w:eastAsia="fr-FR"/>
        </w:rPr>
        <w:t>s reçu de formation spécifique </w:t>
      </w:r>
      <w:r w:rsidRPr="009F702A">
        <w:rPr>
          <w:rFonts w:cs="Calibri"/>
          <w:spacing w:val="-2"/>
          <w:szCs w:val="24"/>
          <w:lang w:eastAsia="fr-FR"/>
        </w:rPr>
        <w:t xml:space="preserve">; (2) si l’utilisation de gestes manuels par l’interlocuteur « ordinaire » </w:t>
      </w:r>
      <w:proofErr w:type="gramStart"/>
      <w:r w:rsidRPr="009F702A">
        <w:rPr>
          <w:rFonts w:cs="Calibri"/>
          <w:spacing w:val="-2"/>
          <w:szCs w:val="24"/>
          <w:lang w:eastAsia="fr-FR"/>
        </w:rPr>
        <w:t>peut</w:t>
      </w:r>
      <w:proofErr w:type="gramEnd"/>
      <w:r w:rsidRPr="009F702A">
        <w:rPr>
          <w:rFonts w:cs="Calibri"/>
          <w:spacing w:val="-2"/>
          <w:szCs w:val="24"/>
          <w:lang w:eastAsia="fr-FR"/>
        </w:rPr>
        <w:t xml:space="preserve"> aider la pe</w:t>
      </w:r>
      <w:r w:rsidR="006C6121" w:rsidRPr="009F702A">
        <w:rPr>
          <w:rFonts w:cs="Calibri"/>
          <w:spacing w:val="-2"/>
          <w:szCs w:val="24"/>
          <w:lang w:eastAsia="fr-FR"/>
        </w:rPr>
        <w:t>rsonne T21 à mieux communiquer </w:t>
      </w:r>
      <w:r w:rsidRPr="009F702A">
        <w:rPr>
          <w:rFonts w:cs="Calibri"/>
          <w:spacing w:val="-2"/>
          <w:szCs w:val="24"/>
          <w:lang w:eastAsia="fr-FR"/>
        </w:rPr>
        <w:t>; (3) si un entraînement gestuel peut re</w:t>
      </w:r>
      <w:r w:rsidR="006C6121" w:rsidRPr="009F702A">
        <w:rPr>
          <w:rFonts w:cs="Calibri"/>
          <w:spacing w:val="-2"/>
          <w:szCs w:val="24"/>
          <w:lang w:eastAsia="fr-FR"/>
        </w:rPr>
        <w:t xml:space="preserve">ndre l’interaction plus facile ; </w:t>
      </w:r>
      <w:r w:rsidRPr="009F702A">
        <w:rPr>
          <w:rFonts w:cs="Calibri"/>
          <w:spacing w:val="-2"/>
          <w:szCs w:val="24"/>
          <w:lang w:eastAsia="fr-FR"/>
        </w:rPr>
        <w:t xml:space="preserve">(4) comment les personnes T21 qui ne parlent </w:t>
      </w:r>
      <w:r w:rsidR="00DE5E53" w:rsidRPr="009F702A">
        <w:rPr>
          <w:rFonts w:cs="Calibri"/>
          <w:spacing w:val="-2"/>
          <w:szCs w:val="24"/>
          <w:lang w:eastAsia="fr-FR"/>
        </w:rPr>
        <w:t>pas communiquent par le geste.</w:t>
      </w:r>
    </w:p>
    <w:p w:rsidR="009C6CC5" w:rsidRPr="009F702A" w:rsidRDefault="009C6CC5" w:rsidP="009C6CC5">
      <w:pPr>
        <w:rPr>
          <w:rFonts w:cs="Calibri"/>
        </w:rPr>
      </w:pPr>
    </w:p>
    <w:p w:rsidR="009C6CC5" w:rsidRPr="009F702A" w:rsidRDefault="009C6CC5" w:rsidP="009F702A">
      <w:pPr>
        <w:pBdr>
          <w:top w:val="single" w:sz="4" w:space="1" w:color="156117"/>
          <w:left w:val="single" w:sz="4" w:space="4" w:color="156117"/>
          <w:bottom w:val="single" w:sz="4" w:space="1" w:color="156117"/>
          <w:right w:val="single" w:sz="4" w:space="4" w:color="156117"/>
        </w:pBdr>
        <w:shd w:val="clear" w:color="auto" w:fill="D6E3BC"/>
        <w:spacing w:after="0"/>
        <w:ind w:firstLine="708"/>
        <w:rPr>
          <w:rFonts w:cs="Calibri"/>
          <w:b/>
          <w:color w:val="4B9941"/>
          <w:sz w:val="24"/>
          <w:szCs w:val="24"/>
        </w:rPr>
      </w:pPr>
      <w:r w:rsidRPr="009F702A">
        <w:rPr>
          <w:rFonts w:cs="Calibri"/>
          <w:b/>
          <w:color w:val="4B9941"/>
          <w:sz w:val="24"/>
          <w:szCs w:val="24"/>
        </w:rPr>
        <w:t>LES SUPPORTS (LIVRABLES) ET LEUR DIFFUSION ET  MODE DE TRANSFERT DES CONNAISSANCES</w:t>
      </w:r>
    </w:p>
    <w:p w:rsidR="002A774C" w:rsidRPr="009F702A" w:rsidRDefault="002A774C" w:rsidP="00F32DC7">
      <w:pPr>
        <w:spacing w:before="120" w:after="0" w:line="240" w:lineRule="auto"/>
        <w:jc w:val="both"/>
        <w:rPr>
          <w:rFonts w:cs="Calibri"/>
          <w:spacing w:val="-2"/>
          <w:szCs w:val="24"/>
          <w:lang w:eastAsia="fr-FR"/>
        </w:rPr>
      </w:pPr>
    </w:p>
    <w:p w:rsidR="00BE077A" w:rsidRPr="009F702A" w:rsidRDefault="00987F6B" w:rsidP="00F32DC7">
      <w:pPr>
        <w:spacing w:before="120" w:after="0" w:line="240" w:lineRule="auto"/>
        <w:jc w:val="both"/>
        <w:rPr>
          <w:rFonts w:cs="Calibri"/>
          <w:spacing w:val="-2"/>
          <w:szCs w:val="24"/>
          <w:lang w:eastAsia="fr-FR"/>
        </w:rPr>
      </w:pPr>
      <w:r w:rsidRPr="009F702A">
        <w:rPr>
          <w:rFonts w:cs="Calibri"/>
          <w:spacing w:val="-2"/>
          <w:szCs w:val="24"/>
          <w:lang w:eastAsia="fr-FR"/>
        </w:rPr>
        <w:t xml:space="preserve">Les résultats obtenus devront permettre d’améliorer la participation et l’insertion sociale des personnes T21 en </w:t>
      </w:r>
      <w:proofErr w:type="gramStart"/>
      <w:r w:rsidRPr="009F702A">
        <w:rPr>
          <w:rFonts w:cs="Calibri"/>
          <w:spacing w:val="-2"/>
          <w:szCs w:val="24"/>
          <w:lang w:eastAsia="fr-FR"/>
        </w:rPr>
        <w:t>les aidant</w:t>
      </w:r>
      <w:proofErr w:type="gramEnd"/>
      <w:r w:rsidRPr="009F702A">
        <w:rPr>
          <w:rFonts w:cs="Calibri"/>
          <w:spacing w:val="-2"/>
          <w:szCs w:val="24"/>
          <w:lang w:eastAsia="fr-FR"/>
        </w:rPr>
        <w:t xml:space="preserve"> à mieux explorer leurs possibilités expressives ; en orientant les orthophonistes vers de nouvelles méthodes de prise en charge et en informant le grand public. </w:t>
      </w:r>
    </w:p>
    <w:p w:rsidR="00D22DF6" w:rsidRPr="009F702A" w:rsidRDefault="00D22DF6" w:rsidP="00F32DC7">
      <w:pPr>
        <w:spacing w:before="60" w:after="0" w:line="240" w:lineRule="auto"/>
        <w:jc w:val="both"/>
        <w:rPr>
          <w:rFonts w:cs="Calibri"/>
          <w:b/>
          <w:color w:val="4B9941"/>
          <w:sz w:val="24"/>
          <w:szCs w:val="24"/>
        </w:rPr>
      </w:pPr>
    </w:p>
    <w:p w:rsidR="00987F6B" w:rsidRPr="009F702A" w:rsidRDefault="00987F6B" w:rsidP="00F32DC7">
      <w:pPr>
        <w:spacing w:before="60" w:after="0" w:line="240" w:lineRule="auto"/>
        <w:jc w:val="both"/>
        <w:rPr>
          <w:rFonts w:cs="Calibri"/>
          <w:b/>
          <w:color w:val="4B9941"/>
          <w:sz w:val="24"/>
          <w:szCs w:val="24"/>
        </w:rPr>
      </w:pPr>
      <w:r w:rsidRPr="009F702A">
        <w:rPr>
          <w:rFonts w:cs="Calibri"/>
          <w:b/>
          <w:color w:val="4B9941"/>
          <w:sz w:val="24"/>
          <w:szCs w:val="24"/>
        </w:rPr>
        <w:t>Axe 4. Aider les personnes T21 dans leur communication</w:t>
      </w:r>
    </w:p>
    <w:p w:rsidR="00D22DF6" w:rsidRPr="009F702A" w:rsidRDefault="00987F6B" w:rsidP="00D22DF6">
      <w:pPr>
        <w:pStyle w:val="Listecouleur-Accent1"/>
        <w:numPr>
          <w:ilvl w:val="0"/>
          <w:numId w:val="4"/>
        </w:numPr>
        <w:spacing w:before="60" w:after="0" w:line="240" w:lineRule="auto"/>
        <w:jc w:val="both"/>
        <w:rPr>
          <w:rFonts w:cs="Calibri"/>
          <w:spacing w:val="-2"/>
          <w:szCs w:val="24"/>
          <w:lang w:eastAsia="fr-FR"/>
        </w:rPr>
      </w:pPr>
      <w:r w:rsidRPr="009F702A">
        <w:rPr>
          <w:rFonts w:cs="Calibri"/>
          <w:b/>
          <w:spacing w:val="-2"/>
          <w:szCs w:val="24"/>
          <w:u w:val="single"/>
          <w:lang w:eastAsia="fr-FR"/>
        </w:rPr>
        <w:t>Etat des lieux des difficultés communicatives des personnes T21.</w:t>
      </w:r>
    </w:p>
    <w:p w:rsidR="00987F6B" w:rsidRPr="009F702A" w:rsidRDefault="00987F6B" w:rsidP="00D22DF6">
      <w:pPr>
        <w:spacing w:before="60" w:after="0" w:line="240" w:lineRule="auto"/>
        <w:jc w:val="both"/>
        <w:rPr>
          <w:rFonts w:cs="Calibri"/>
          <w:spacing w:val="-2"/>
          <w:szCs w:val="24"/>
          <w:lang w:eastAsia="fr-FR"/>
        </w:rPr>
      </w:pPr>
      <w:r w:rsidRPr="009F702A">
        <w:rPr>
          <w:rFonts w:cs="Calibri"/>
          <w:spacing w:val="-2"/>
          <w:szCs w:val="24"/>
          <w:lang w:eastAsia="fr-FR"/>
        </w:rPr>
        <w:t xml:space="preserve">Les informations dont on dispose actuellement et les nouveaux résultats obtenus au cours du projet, feront l’objet d’un travail de synthèse pour dresser un état des lieux. Celui-ci sera rendu accessible aux personnes T21 et à leurs familles. </w:t>
      </w:r>
    </w:p>
    <w:p w:rsidR="00F71D43" w:rsidRPr="009F702A" w:rsidRDefault="00987F6B" w:rsidP="00D22DF6">
      <w:pPr>
        <w:pStyle w:val="Listecouleur-Accent1"/>
        <w:numPr>
          <w:ilvl w:val="0"/>
          <w:numId w:val="4"/>
        </w:numPr>
        <w:spacing w:before="60" w:after="0" w:line="240" w:lineRule="auto"/>
        <w:jc w:val="both"/>
        <w:rPr>
          <w:rFonts w:cs="Calibri"/>
          <w:spacing w:val="-2"/>
          <w:szCs w:val="24"/>
          <w:lang w:eastAsia="fr-FR"/>
        </w:rPr>
      </w:pPr>
      <w:r w:rsidRPr="009F702A">
        <w:rPr>
          <w:rFonts w:cs="Calibri"/>
          <w:b/>
          <w:spacing w:val="-2"/>
          <w:szCs w:val="24"/>
          <w:u w:val="single"/>
          <w:lang w:eastAsia="fr-FR"/>
        </w:rPr>
        <w:t xml:space="preserve">« Bonjour, je suis </w:t>
      </w:r>
      <w:proofErr w:type="gramStart"/>
      <w:r w:rsidRPr="009F702A">
        <w:rPr>
          <w:rFonts w:cs="Calibri"/>
          <w:b/>
          <w:spacing w:val="-2"/>
          <w:szCs w:val="24"/>
          <w:u w:val="single"/>
          <w:lang w:eastAsia="fr-FR"/>
        </w:rPr>
        <w:t>porteur(</w:t>
      </w:r>
      <w:proofErr w:type="gramEnd"/>
      <w:r w:rsidRPr="009F702A">
        <w:rPr>
          <w:rFonts w:cs="Calibri"/>
          <w:b/>
          <w:spacing w:val="-2"/>
          <w:szCs w:val="24"/>
          <w:u w:val="single"/>
          <w:lang w:eastAsia="fr-FR"/>
        </w:rPr>
        <w:t>se) de Trisomie 21. J’ai des difficultés pour communiquer. Pour savoir comment nous pouvons mieux communiquer ensemble, vous pouvez regarder ce petit film… ».</w:t>
      </w:r>
      <w:r w:rsidRPr="009F702A">
        <w:rPr>
          <w:rFonts w:cs="Calibri"/>
          <w:spacing w:val="-2"/>
          <w:szCs w:val="24"/>
          <w:lang w:eastAsia="fr-FR"/>
        </w:rPr>
        <w:t xml:space="preserve"> </w:t>
      </w:r>
    </w:p>
    <w:p w:rsidR="00987F6B" w:rsidRPr="009F702A" w:rsidRDefault="00502E24" w:rsidP="00F71D43">
      <w:pPr>
        <w:spacing w:before="60" w:after="0" w:line="240" w:lineRule="auto"/>
        <w:jc w:val="both"/>
        <w:rPr>
          <w:rFonts w:cs="Calibri"/>
          <w:spacing w:val="-2"/>
          <w:szCs w:val="24"/>
          <w:lang w:eastAsia="fr-FR"/>
        </w:rPr>
      </w:pPr>
      <w:r w:rsidRPr="009F702A">
        <w:rPr>
          <w:rFonts w:cs="Calibri"/>
          <w:spacing w:val="-2"/>
          <w:szCs w:val="24"/>
          <w:lang w:eastAsia="fr-FR"/>
        </w:rPr>
        <w:t>Les</w:t>
      </w:r>
      <w:r w:rsidR="00987F6B" w:rsidRPr="009F702A">
        <w:rPr>
          <w:rFonts w:cs="Calibri"/>
          <w:spacing w:val="-2"/>
          <w:szCs w:val="24"/>
          <w:lang w:eastAsia="fr-FR"/>
        </w:rPr>
        <w:t xml:space="preserve"> résultats obtenus dans ce projet permettront de mieux appréhender les possibilités d’adaptation de l’espace communicatif et de son enrichissement multimodal. </w:t>
      </w:r>
      <w:r w:rsidRPr="009F702A">
        <w:rPr>
          <w:rFonts w:cs="Calibri"/>
          <w:spacing w:val="-2"/>
          <w:szCs w:val="24"/>
          <w:lang w:eastAsia="fr-FR"/>
        </w:rPr>
        <w:t>U</w:t>
      </w:r>
      <w:r w:rsidR="00987F6B" w:rsidRPr="009F702A">
        <w:rPr>
          <w:rFonts w:cs="Calibri"/>
          <w:spacing w:val="-2"/>
          <w:szCs w:val="24"/>
          <w:lang w:eastAsia="fr-FR"/>
        </w:rPr>
        <w:t>n petit film expliquant au grand public la communication des personnes T21 pourra être téléchargé sur le site internet du projet et utilisé par les personnes T21 pour informer le</w:t>
      </w:r>
      <w:r w:rsidRPr="009F702A">
        <w:rPr>
          <w:rFonts w:cs="Calibri"/>
          <w:spacing w:val="-2"/>
          <w:szCs w:val="24"/>
          <w:lang w:eastAsia="fr-FR"/>
        </w:rPr>
        <w:t>s interlocuteurs « ordinaires ».</w:t>
      </w:r>
    </w:p>
    <w:p w:rsidR="00F71D43" w:rsidRPr="009F702A" w:rsidRDefault="00F71D43" w:rsidP="00F71D43">
      <w:pPr>
        <w:spacing w:before="60" w:after="0" w:line="240" w:lineRule="auto"/>
        <w:jc w:val="both"/>
        <w:rPr>
          <w:rFonts w:cs="Calibri"/>
          <w:spacing w:val="-2"/>
          <w:szCs w:val="24"/>
          <w:lang w:eastAsia="fr-FR"/>
        </w:rPr>
      </w:pPr>
    </w:p>
    <w:p w:rsidR="00987F6B" w:rsidRPr="009F702A" w:rsidRDefault="00987F6B" w:rsidP="00F32DC7">
      <w:pPr>
        <w:spacing w:before="60" w:after="0" w:line="240" w:lineRule="auto"/>
        <w:jc w:val="both"/>
        <w:rPr>
          <w:rFonts w:cs="Calibri"/>
          <w:b/>
          <w:spacing w:val="-2"/>
          <w:szCs w:val="24"/>
          <w:u w:val="single"/>
          <w:lang w:eastAsia="fr-FR"/>
        </w:rPr>
      </w:pPr>
      <w:r w:rsidRPr="009F702A">
        <w:rPr>
          <w:rFonts w:cs="Calibri"/>
          <w:b/>
          <w:color w:val="4B9941"/>
          <w:sz w:val="24"/>
          <w:szCs w:val="24"/>
        </w:rPr>
        <w:t>Axe 5. Transférer les connaissances produites</w:t>
      </w:r>
    </w:p>
    <w:p w:rsidR="00CE0087" w:rsidRPr="009F702A" w:rsidRDefault="00CC1FA8" w:rsidP="00D22DF6">
      <w:pPr>
        <w:pStyle w:val="Listecouleur-Accent1"/>
        <w:numPr>
          <w:ilvl w:val="0"/>
          <w:numId w:val="3"/>
        </w:numPr>
        <w:spacing w:before="60" w:after="0" w:line="240" w:lineRule="auto"/>
        <w:jc w:val="both"/>
        <w:rPr>
          <w:rFonts w:cs="Calibri"/>
          <w:b/>
          <w:spacing w:val="-2"/>
          <w:szCs w:val="24"/>
          <w:u w:val="single"/>
          <w:lang w:eastAsia="fr-FR"/>
        </w:rPr>
      </w:pPr>
      <w:r w:rsidRPr="009F702A">
        <w:rPr>
          <w:rFonts w:cs="Calibri"/>
          <w:b/>
          <w:spacing w:val="-2"/>
          <w:szCs w:val="24"/>
          <w:u w:val="single"/>
          <w:lang w:eastAsia="fr-FR"/>
        </w:rPr>
        <w:t>De par un site internet réalisé en français et en anglais</w:t>
      </w:r>
      <w:r w:rsidR="00D22DF6" w:rsidRPr="009F702A">
        <w:rPr>
          <w:rFonts w:cs="Calibri"/>
          <w:b/>
          <w:spacing w:val="-2"/>
          <w:szCs w:val="24"/>
          <w:u w:val="single"/>
          <w:lang w:eastAsia="fr-FR"/>
        </w:rPr>
        <w:t>.</w:t>
      </w:r>
    </w:p>
    <w:p w:rsidR="00CC1FA8" w:rsidRPr="000A43EA" w:rsidRDefault="003A59D6" w:rsidP="00F32DC7">
      <w:pPr>
        <w:spacing w:before="60" w:after="0" w:line="240" w:lineRule="auto"/>
        <w:jc w:val="both"/>
        <w:rPr>
          <w:rFonts w:cs="Calibri"/>
          <w:spacing w:val="-2"/>
          <w:szCs w:val="24"/>
          <w:lang w:eastAsia="fr-FR"/>
        </w:rPr>
      </w:pPr>
      <w:r w:rsidRPr="009F702A">
        <w:rPr>
          <w:rFonts w:cs="Calibri"/>
          <w:spacing w:val="-2"/>
          <w:szCs w:val="24"/>
          <w:lang w:eastAsia="fr-FR"/>
        </w:rPr>
        <w:t>Cette</w:t>
      </w:r>
      <w:r w:rsidR="00CC1FA8" w:rsidRPr="009F702A">
        <w:rPr>
          <w:rFonts w:cs="Calibri"/>
          <w:spacing w:val="-2"/>
          <w:szCs w:val="24"/>
          <w:lang w:eastAsia="fr-FR"/>
        </w:rPr>
        <w:t xml:space="preserve"> </w:t>
      </w:r>
      <w:r w:rsidR="00520B3B" w:rsidRPr="009F702A">
        <w:rPr>
          <w:rFonts w:cs="Calibri"/>
          <w:spacing w:val="-2"/>
          <w:szCs w:val="24"/>
          <w:lang w:eastAsia="fr-FR"/>
        </w:rPr>
        <w:t xml:space="preserve">plateforme de communication permettra de diffuser les connaissances sur la communication des personnes T21 (ressources documentaires, résultats des études du projet) et de les rendre accessibles au plus grand nombre. </w:t>
      </w:r>
      <w:r w:rsidR="00C015A2" w:rsidRPr="009F702A">
        <w:rPr>
          <w:rFonts w:cs="Calibri"/>
          <w:spacing w:val="-2"/>
          <w:szCs w:val="24"/>
          <w:lang w:eastAsia="fr-FR"/>
        </w:rPr>
        <w:t>Il comportera</w:t>
      </w:r>
      <w:r w:rsidR="00520B3B" w:rsidRPr="009F702A">
        <w:rPr>
          <w:rFonts w:cs="Calibri"/>
          <w:spacing w:val="-2"/>
          <w:szCs w:val="24"/>
          <w:lang w:eastAsia="fr-FR"/>
        </w:rPr>
        <w:t xml:space="preserve"> des fiches « techniques » et « éducatives » </w:t>
      </w:r>
      <w:r w:rsidR="00C015A2" w:rsidRPr="009F702A">
        <w:rPr>
          <w:rFonts w:cs="Calibri"/>
          <w:spacing w:val="-2"/>
          <w:szCs w:val="24"/>
          <w:lang w:eastAsia="fr-FR"/>
        </w:rPr>
        <w:t xml:space="preserve">ainsi que </w:t>
      </w:r>
      <w:r w:rsidR="00C015A2" w:rsidRPr="000A43EA">
        <w:rPr>
          <w:rFonts w:cs="Calibri"/>
          <w:spacing w:val="-2"/>
          <w:szCs w:val="24"/>
          <w:lang w:eastAsia="fr-FR"/>
        </w:rPr>
        <w:t>des</w:t>
      </w:r>
      <w:r w:rsidR="000A43EA">
        <w:rPr>
          <w:rFonts w:cs="Calibri"/>
          <w:spacing w:val="-2"/>
          <w:szCs w:val="24"/>
          <w:lang w:eastAsia="fr-FR"/>
        </w:rPr>
        <w:t xml:space="preserve"> éléments</w:t>
      </w:r>
      <w:r w:rsidR="00D35172" w:rsidRPr="000A43EA">
        <w:rPr>
          <w:rFonts w:cs="Calibri"/>
          <w:spacing w:val="-2"/>
          <w:szCs w:val="24"/>
          <w:lang w:eastAsia="fr-FR"/>
        </w:rPr>
        <w:t xml:space="preserve"> </w:t>
      </w:r>
      <w:r w:rsidR="00C015A2" w:rsidRPr="000A43EA">
        <w:rPr>
          <w:rFonts w:cs="Calibri"/>
          <w:spacing w:val="-2"/>
          <w:szCs w:val="24"/>
          <w:lang w:eastAsia="fr-FR"/>
        </w:rPr>
        <w:t>de e-learning.</w:t>
      </w:r>
      <w:r w:rsidR="000F4277" w:rsidRPr="000A43EA">
        <w:rPr>
          <w:rFonts w:cs="Calibri"/>
          <w:spacing w:val="-2"/>
          <w:szCs w:val="24"/>
          <w:lang w:eastAsia="fr-FR"/>
        </w:rPr>
        <w:t xml:space="preserve"> </w:t>
      </w:r>
    </w:p>
    <w:p w:rsidR="00520B3B" w:rsidRPr="009F702A" w:rsidRDefault="00520B3B" w:rsidP="00D22DF6">
      <w:pPr>
        <w:pStyle w:val="Listecouleur-Accent1"/>
        <w:numPr>
          <w:ilvl w:val="0"/>
          <w:numId w:val="3"/>
        </w:numPr>
        <w:spacing w:before="60" w:after="0" w:line="240" w:lineRule="auto"/>
        <w:jc w:val="both"/>
        <w:rPr>
          <w:rFonts w:cs="Calibri"/>
          <w:b/>
          <w:spacing w:val="-2"/>
          <w:szCs w:val="24"/>
          <w:u w:val="single"/>
          <w:lang w:eastAsia="fr-FR"/>
        </w:rPr>
      </w:pPr>
      <w:r w:rsidRPr="009F702A">
        <w:rPr>
          <w:rFonts w:cs="Calibri"/>
          <w:b/>
          <w:spacing w:val="-2"/>
          <w:szCs w:val="24"/>
          <w:u w:val="single"/>
          <w:lang w:eastAsia="fr-FR"/>
        </w:rPr>
        <w:t>De par un atelier « Geste, Interaction et Handicap »</w:t>
      </w:r>
      <w:r w:rsidR="00D22DF6" w:rsidRPr="009F702A">
        <w:rPr>
          <w:rFonts w:cs="Calibri"/>
          <w:b/>
          <w:spacing w:val="-2"/>
          <w:szCs w:val="24"/>
          <w:u w:val="single"/>
          <w:lang w:eastAsia="fr-FR"/>
        </w:rPr>
        <w:t>.</w:t>
      </w:r>
    </w:p>
    <w:p w:rsidR="00CE0087" w:rsidRPr="009F702A" w:rsidRDefault="004C301B" w:rsidP="00F32DC7">
      <w:pPr>
        <w:spacing w:before="60" w:after="0" w:line="240" w:lineRule="auto"/>
        <w:jc w:val="both"/>
        <w:rPr>
          <w:rFonts w:cs="Calibri"/>
          <w:spacing w:val="-2"/>
          <w:szCs w:val="24"/>
          <w:lang w:eastAsia="fr-FR"/>
        </w:rPr>
      </w:pPr>
      <w:r w:rsidRPr="009F702A">
        <w:rPr>
          <w:rFonts w:cs="Calibri"/>
          <w:spacing w:val="-2"/>
          <w:szCs w:val="24"/>
          <w:lang w:eastAsia="fr-FR"/>
        </w:rPr>
        <w:t xml:space="preserve">Cet atelier permettra d’amener les personnes handicapées, leur entourage et les professionnels dans le laboratoire, non pas en tant qu’objets d’étude mais en tant que participants au projet. Le rayonnement sera augmenté par la mise en ligne </w:t>
      </w:r>
      <w:proofErr w:type="gramStart"/>
      <w:r w:rsidRPr="000A43EA">
        <w:rPr>
          <w:rFonts w:cs="Calibri"/>
          <w:spacing w:val="-2"/>
          <w:szCs w:val="24"/>
          <w:lang w:eastAsia="fr-FR"/>
        </w:rPr>
        <w:t xml:space="preserve">des </w:t>
      </w:r>
      <w:r w:rsidR="000A43EA" w:rsidRPr="000A43EA">
        <w:rPr>
          <w:rFonts w:cs="Calibri"/>
          <w:spacing w:val="-2"/>
          <w:szCs w:val="24"/>
          <w:lang w:eastAsia="fr-FR"/>
        </w:rPr>
        <w:t>compte-rendu</w:t>
      </w:r>
      <w:proofErr w:type="gramEnd"/>
      <w:r w:rsidRPr="000A43EA">
        <w:rPr>
          <w:rFonts w:cs="Calibri"/>
          <w:spacing w:val="-2"/>
          <w:szCs w:val="24"/>
          <w:lang w:eastAsia="fr-FR"/>
        </w:rPr>
        <w:t xml:space="preserve"> des ateliers</w:t>
      </w:r>
      <w:r w:rsidRPr="009F702A">
        <w:rPr>
          <w:rFonts w:cs="Calibri"/>
          <w:spacing w:val="-2"/>
          <w:szCs w:val="24"/>
          <w:lang w:eastAsia="fr-FR"/>
        </w:rPr>
        <w:t>.</w:t>
      </w:r>
    </w:p>
    <w:p w:rsidR="00171C54" w:rsidRPr="009F702A" w:rsidRDefault="00987F6B" w:rsidP="00D22DF6">
      <w:pPr>
        <w:pStyle w:val="Listecouleur-Accent1"/>
        <w:numPr>
          <w:ilvl w:val="0"/>
          <w:numId w:val="3"/>
        </w:numPr>
        <w:spacing w:before="60" w:after="0" w:line="240" w:lineRule="auto"/>
        <w:jc w:val="both"/>
        <w:rPr>
          <w:rFonts w:cs="Calibri"/>
          <w:b/>
          <w:spacing w:val="-2"/>
          <w:szCs w:val="24"/>
          <w:u w:val="single"/>
          <w:lang w:eastAsia="fr-FR"/>
        </w:rPr>
      </w:pPr>
      <w:r w:rsidRPr="009F702A">
        <w:rPr>
          <w:rFonts w:cs="Calibri"/>
          <w:b/>
          <w:spacing w:val="-2"/>
          <w:szCs w:val="24"/>
          <w:u w:val="single"/>
          <w:lang w:eastAsia="fr-FR"/>
        </w:rPr>
        <w:t>Di</w:t>
      </w:r>
      <w:r w:rsidR="00D22DF6" w:rsidRPr="009F702A">
        <w:rPr>
          <w:rFonts w:cs="Calibri"/>
          <w:b/>
          <w:spacing w:val="-2"/>
          <w:szCs w:val="24"/>
          <w:u w:val="single"/>
          <w:lang w:eastAsia="fr-FR"/>
        </w:rPr>
        <w:t>ffusion et échange scientifique.</w:t>
      </w:r>
    </w:p>
    <w:p w:rsidR="00987F6B" w:rsidRPr="009F702A" w:rsidRDefault="00171C54" w:rsidP="00F32DC7">
      <w:pPr>
        <w:spacing w:before="60" w:after="0" w:line="240" w:lineRule="auto"/>
        <w:jc w:val="both"/>
        <w:rPr>
          <w:rFonts w:cs="Calibri"/>
          <w:spacing w:val="-2"/>
          <w:szCs w:val="24"/>
          <w:lang w:eastAsia="fr-FR"/>
        </w:rPr>
      </w:pPr>
      <w:r w:rsidRPr="009F702A">
        <w:rPr>
          <w:rFonts w:cs="Calibri"/>
          <w:spacing w:val="-2"/>
          <w:szCs w:val="24"/>
          <w:lang w:eastAsia="fr-FR"/>
        </w:rPr>
        <w:t xml:space="preserve">Les résultats du projet seront publiés </w:t>
      </w:r>
      <w:r w:rsidR="00A46F18" w:rsidRPr="009F702A">
        <w:rPr>
          <w:rFonts w:cs="Calibri"/>
          <w:spacing w:val="-2"/>
          <w:szCs w:val="24"/>
          <w:lang w:eastAsia="fr-FR"/>
        </w:rPr>
        <w:t xml:space="preserve">dans des revues scientifiques avec comité de lecture et seront présentés dans des conférences spécialisées  et générales sur la parole. </w:t>
      </w:r>
    </w:p>
    <w:p w:rsidR="002A774C" w:rsidRPr="009F702A" w:rsidRDefault="002A774C" w:rsidP="00403EE9">
      <w:pPr>
        <w:jc w:val="center"/>
        <w:rPr>
          <w:rFonts w:cs="Calibri"/>
          <w:u w:val="single"/>
        </w:rPr>
      </w:pPr>
    </w:p>
    <w:p w:rsidR="002A774C" w:rsidRPr="009F702A" w:rsidRDefault="002A774C" w:rsidP="00403EE9">
      <w:pPr>
        <w:jc w:val="center"/>
        <w:rPr>
          <w:rFonts w:cs="Calibri"/>
          <w:u w:val="single"/>
        </w:rPr>
      </w:pPr>
    </w:p>
    <w:p w:rsidR="005A4013" w:rsidRPr="009F702A" w:rsidRDefault="00DC1734" w:rsidP="00DC1734">
      <w:pPr>
        <w:jc w:val="center"/>
        <w:rPr>
          <w:rFonts w:cs="Calibri"/>
          <w:u w:val="single"/>
        </w:rPr>
      </w:pPr>
      <w:r>
        <w:rPr>
          <w:u w:val="single"/>
        </w:rPr>
        <w:t>Ce document a été réalisé par la FIRAH et validé par le porteur de projet.</w:t>
      </w:r>
    </w:p>
    <w:sectPr w:rsidR="005A4013" w:rsidRPr="009F702A" w:rsidSect="00E05CA3">
      <w:headerReference w:type="default" r:id="rId7"/>
      <w:footerReference w:type="default" r:id="rId8"/>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7D" w:rsidRDefault="0034747D" w:rsidP="008D0099">
      <w:pPr>
        <w:spacing w:after="0" w:line="240" w:lineRule="auto"/>
      </w:pPr>
      <w:r>
        <w:separator/>
      </w:r>
    </w:p>
  </w:endnote>
  <w:endnote w:type="continuationSeparator" w:id="0">
    <w:p w:rsidR="0034747D" w:rsidRDefault="0034747D"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B80" w:rsidRPr="009F702A" w:rsidRDefault="00DF3B80" w:rsidP="00DF3B80">
    <w:pPr>
      <w:pStyle w:val="Pieddepage"/>
      <w:jc w:val="center"/>
      <w:rPr>
        <w:rFonts w:cs="Calibri"/>
        <w:color w:val="000000"/>
        <w:sz w:val="14"/>
        <w:szCs w:val="16"/>
      </w:rPr>
    </w:pPr>
    <w:r w:rsidRPr="009F702A">
      <w:rPr>
        <w:rFonts w:cs="Calibri"/>
        <w:color w:val="595959"/>
      </w:rPr>
      <w:t xml:space="preserve">14 rue de la Tombe Issoire </w:t>
    </w:r>
    <w:r w:rsidRPr="009F702A">
      <w:rPr>
        <w:rFonts w:cs="Calibri"/>
        <w:color w:val="58973F"/>
      </w:rPr>
      <w:sym w:font="Wingdings" w:char="F09F"/>
    </w:r>
    <w:r w:rsidRPr="009F702A">
      <w:rPr>
        <w:rFonts w:cs="Calibri"/>
        <w:color w:val="000000"/>
      </w:rPr>
      <w:t xml:space="preserve"> </w:t>
    </w:r>
    <w:r w:rsidRPr="009F702A">
      <w:rPr>
        <w:rFonts w:cs="Calibri"/>
        <w:color w:val="595959"/>
      </w:rPr>
      <w:t xml:space="preserve">75014 Paris </w:t>
    </w:r>
    <w:r w:rsidRPr="009F702A">
      <w:rPr>
        <w:rFonts w:cs="Calibri"/>
        <w:color w:val="58973F"/>
      </w:rPr>
      <w:sym w:font="Wingdings" w:char="F09F"/>
    </w:r>
    <w:r w:rsidRPr="009F702A">
      <w:rPr>
        <w:rFonts w:cs="Calibri"/>
        <w:color w:val="000000"/>
      </w:rPr>
      <w:t xml:space="preserve"> </w:t>
    </w:r>
    <w:r w:rsidRPr="009F702A">
      <w:rPr>
        <w:rFonts w:cs="Calibri"/>
        <w:color w:val="595959"/>
      </w:rPr>
      <w:t>France</w:t>
    </w:r>
  </w:p>
  <w:p w:rsidR="00DF3B80" w:rsidRPr="009F702A" w:rsidRDefault="00DF3B80" w:rsidP="00DF3B80">
    <w:pPr>
      <w:pStyle w:val="Pieddepage"/>
      <w:jc w:val="center"/>
      <w:rPr>
        <w:rFonts w:cs="Calibri"/>
        <w:color w:val="595959"/>
      </w:rPr>
    </w:pPr>
    <w:r w:rsidRPr="009F702A">
      <w:rPr>
        <w:rFonts w:cs="Calibri"/>
        <w:color w:val="58973F"/>
      </w:rPr>
      <w:sym w:font="Wingdings" w:char="F028"/>
    </w:r>
    <w:r w:rsidR="00AC303D" w:rsidRPr="009F702A">
      <w:rPr>
        <w:rFonts w:cs="Calibri"/>
        <w:color w:val="58973F"/>
      </w:rPr>
      <w:t xml:space="preserve"> </w:t>
    </w:r>
    <w:r w:rsidRPr="009F702A">
      <w:rPr>
        <w:rFonts w:cs="Calibri"/>
        <w:color w:val="58973F"/>
      </w:rPr>
      <w:t xml:space="preserve">: </w:t>
    </w:r>
    <w:r w:rsidRPr="009F702A">
      <w:rPr>
        <w:rFonts w:cs="Calibri"/>
        <w:color w:val="595959"/>
      </w:rPr>
      <w:t>+ 33 (0)1 43 12 19 19</w:t>
    </w:r>
  </w:p>
  <w:p w:rsidR="00DF3B80" w:rsidRPr="009F702A" w:rsidRDefault="00DF3B80" w:rsidP="00DF3B80">
    <w:pPr>
      <w:pStyle w:val="Pieddepage"/>
      <w:jc w:val="center"/>
      <w:rPr>
        <w:rFonts w:cs="Calibri"/>
        <w:color w:val="595959"/>
      </w:rPr>
    </w:pPr>
    <w:r w:rsidRPr="009F702A">
      <w:rPr>
        <w:rFonts w:cs="Calibri"/>
        <w:color w:val="58973F"/>
      </w:rPr>
      <w:sym w:font="Wingdings" w:char="F02A"/>
    </w:r>
    <w:r w:rsidR="00AC303D" w:rsidRPr="009F702A">
      <w:rPr>
        <w:rFonts w:cs="Calibri"/>
        <w:color w:val="58973F"/>
      </w:rPr>
      <w:t xml:space="preserve"> </w:t>
    </w:r>
    <w:r w:rsidRPr="009F702A">
      <w:rPr>
        <w:rFonts w:cs="Calibri"/>
        <w:color w:val="58973F"/>
      </w:rPr>
      <w:t>:</w:t>
    </w:r>
    <w:r w:rsidRPr="009F702A">
      <w:rPr>
        <w:rFonts w:cs="Calibri"/>
        <w:color w:val="000000"/>
      </w:rPr>
      <w:t xml:space="preserve"> </w:t>
    </w:r>
    <w:hyperlink r:id="rId1" w:history="1">
      <w:r w:rsidRPr="009F702A">
        <w:rPr>
          <w:rStyle w:val="Lienhypertexte"/>
          <w:rFonts w:cs="Calibri"/>
          <w:color w:val="595959"/>
        </w:rPr>
        <w:t>firah@firah.org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7D" w:rsidRDefault="0034747D" w:rsidP="008D0099">
      <w:pPr>
        <w:spacing w:after="0" w:line="240" w:lineRule="auto"/>
      </w:pPr>
      <w:r>
        <w:separator/>
      </w:r>
    </w:p>
  </w:footnote>
  <w:footnote w:type="continuationSeparator" w:id="0">
    <w:p w:rsidR="0034747D" w:rsidRDefault="0034747D"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9F702A" w:rsidRDefault="009F702A" w:rsidP="005A4013">
    <w:pPr>
      <w:pStyle w:val="En-tte"/>
      <w:tabs>
        <w:tab w:val="clear" w:pos="4536"/>
        <w:tab w:val="clear" w:pos="9072"/>
        <w:tab w:val="center" w:pos="4535"/>
      </w:tabs>
      <w:rPr>
        <w:rFonts w:cs="Calibri"/>
        <w:b/>
        <w:color w:val="58973F"/>
        <w:sz w:val="20"/>
        <w:szCs w:val="20"/>
        <w:lang w:val="en-US"/>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style="position:absolute;margin-left:159.6pt;margin-top:-87.85pt;width:208.65pt;height:67.1pt;z-index:-251658240;visibility:visible;mso-wrap-edited:f;mso-position-horizontal-relative:margin;mso-position-vertical-relative:margin;mso-width-relative:margin;mso-height-relative:margin" wrapcoords="-77 0 -77 21114 21600 21114 21600 0 -77 0">
          <v:imagedata r:id="rId1" o:title=""/>
          <w10:wrap type="through" anchorx="margin" anchory="margin"/>
        </v:shape>
      </w:pict>
    </w:r>
    <w:r>
      <w:rPr>
        <w:noProof/>
        <w:lang w:eastAsia="fr-FR"/>
      </w:rPr>
      <w:pict>
        <v:rect id="Rectangle 3" o:spid="_x0000_s2049" style="position:absolute;margin-left:-36.75pt;margin-top:-36pt;width:9.75pt;height:852.3pt;z-index:2516572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" fillcolor="#448e32" strokecolor="#448e32" strokeweight="2pt"/>
      </w:pict>
    </w:r>
    <w:r w:rsidR="005A4013" w:rsidRPr="009F702A">
      <w:rPr>
        <w:rFonts w:cs="Calibr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C4615"/>
    <w:multiLevelType w:val="hybridMultilevel"/>
    <w:tmpl w:val="9A2873D4"/>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6A1DEB"/>
    <w:multiLevelType w:val="hybridMultilevel"/>
    <w:tmpl w:val="13AA9F60"/>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E39A1"/>
    <w:multiLevelType w:val="hybridMultilevel"/>
    <w:tmpl w:val="4F747AB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F018A0"/>
    <w:multiLevelType w:val="hybridMultilevel"/>
    <w:tmpl w:val="5A2CCC6C"/>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099"/>
    <w:rsid w:val="00005C38"/>
    <w:rsid w:val="00006F4A"/>
    <w:rsid w:val="00032B8E"/>
    <w:rsid w:val="00037825"/>
    <w:rsid w:val="00041C4A"/>
    <w:rsid w:val="00043BB4"/>
    <w:rsid w:val="00081DC5"/>
    <w:rsid w:val="00087FCD"/>
    <w:rsid w:val="000A43EA"/>
    <w:rsid w:val="000C3BE1"/>
    <w:rsid w:val="000C7048"/>
    <w:rsid w:val="000F4277"/>
    <w:rsid w:val="00103389"/>
    <w:rsid w:val="0011639E"/>
    <w:rsid w:val="00171C54"/>
    <w:rsid w:val="00180575"/>
    <w:rsid w:val="001B0D5A"/>
    <w:rsid w:val="0021402E"/>
    <w:rsid w:val="00274853"/>
    <w:rsid w:val="00284655"/>
    <w:rsid w:val="00290A9F"/>
    <w:rsid w:val="00297DA4"/>
    <w:rsid w:val="002A0B97"/>
    <w:rsid w:val="002A34E7"/>
    <w:rsid w:val="002A774C"/>
    <w:rsid w:val="002B10EB"/>
    <w:rsid w:val="002C128A"/>
    <w:rsid w:val="002D5C39"/>
    <w:rsid w:val="0034747D"/>
    <w:rsid w:val="00363EE4"/>
    <w:rsid w:val="00384892"/>
    <w:rsid w:val="003935F7"/>
    <w:rsid w:val="003A1A9F"/>
    <w:rsid w:val="003A59D6"/>
    <w:rsid w:val="003A5F84"/>
    <w:rsid w:val="003B2510"/>
    <w:rsid w:val="003E4272"/>
    <w:rsid w:val="003F174D"/>
    <w:rsid w:val="003F617B"/>
    <w:rsid w:val="003F6752"/>
    <w:rsid w:val="00403EE9"/>
    <w:rsid w:val="00431B0E"/>
    <w:rsid w:val="00446CFA"/>
    <w:rsid w:val="00494343"/>
    <w:rsid w:val="004957B8"/>
    <w:rsid w:val="004C301B"/>
    <w:rsid w:val="00502E24"/>
    <w:rsid w:val="00520B3B"/>
    <w:rsid w:val="00535D6A"/>
    <w:rsid w:val="00543287"/>
    <w:rsid w:val="0054563C"/>
    <w:rsid w:val="00551E28"/>
    <w:rsid w:val="00560774"/>
    <w:rsid w:val="00562466"/>
    <w:rsid w:val="005808BC"/>
    <w:rsid w:val="00582CF5"/>
    <w:rsid w:val="005969BB"/>
    <w:rsid w:val="005A4013"/>
    <w:rsid w:val="005A4655"/>
    <w:rsid w:val="005C3E4E"/>
    <w:rsid w:val="005D5A30"/>
    <w:rsid w:val="005F78AA"/>
    <w:rsid w:val="006024CB"/>
    <w:rsid w:val="00647B69"/>
    <w:rsid w:val="006A20A2"/>
    <w:rsid w:val="006B74C7"/>
    <w:rsid w:val="006B7997"/>
    <w:rsid w:val="006C6121"/>
    <w:rsid w:val="006F4BAB"/>
    <w:rsid w:val="00722979"/>
    <w:rsid w:val="00727BC6"/>
    <w:rsid w:val="0074030F"/>
    <w:rsid w:val="00745A39"/>
    <w:rsid w:val="0075792F"/>
    <w:rsid w:val="00785538"/>
    <w:rsid w:val="007A63FC"/>
    <w:rsid w:val="007F3F58"/>
    <w:rsid w:val="00850C33"/>
    <w:rsid w:val="008642D4"/>
    <w:rsid w:val="008C1BA7"/>
    <w:rsid w:val="008D0099"/>
    <w:rsid w:val="008D2F26"/>
    <w:rsid w:val="008D533F"/>
    <w:rsid w:val="008E7BD1"/>
    <w:rsid w:val="008F6DA6"/>
    <w:rsid w:val="00943786"/>
    <w:rsid w:val="00945ACC"/>
    <w:rsid w:val="009817CA"/>
    <w:rsid w:val="00987A34"/>
    <w:rsid w:val="00987F6B"/>
    <w:rsid w:val="009C6CC5"/>
    <w:rsid w:val="009D6F33"/>
    <w:rsid w:val="009D71A4"/>
    <w:rsid w:val="009E4694"/>
    <w:rsid w:val="009F1291"/>
    <w:rsid w:val="009F248D"/>
    <w:rsid w:val="009F6A95"/>
    <w:rsid w:val="009F702A"/>
    <w:rsid w:val="00A46F18"/>
    <w:rsid w:val="00A50063"/>
    <w:rsid w:val="00A77D55"/>
    <w:rsid w:val="00AA438C"/>
    <w:rsid w:val="00AC303D"/>
    <w:rsid w:val="00AC4163"/>
    <w:rsid w:val="00AF728E"/>
    <w:rsid w:val="00B20135"/>
    <w:rsid w:val="00B209F7"/>
    <w:rsid w:val="00B27956"/>
    <w:rsid w:val="00B63159"/>
    <w:rsid w:val="00B80B57"/>
    <w:rsid w:val="00B80B6F"/>
    <w:rsid w:val="00BA61EE"/>
    <w:rsid w:val="00BA7FF8"/>
    <w:rsid w:val="00BB185B"/>
    <w:rsid w:val="00BC0A14"/>
    <w:rsid w:val="00BD5E72"/>
    <w:rsid w:val="00BD6C16"/>
    <w:rsid w:val="00BE077A"/>
    <w:rsid w:val="00C015A2"/>
    <w:rsid w:val="00C119B0"/>
    <w:rsid w:val="00C8170D"/>
    <w:rsid w:val="00C844BD"/>
    <w:rsid w:val="00CA4209"/>
    <w:rsid w:val="00CC1FA8"/>
    <w:rsid w:val="00CE0087"/>
    <w:rsid w:val="00D22DF6"/>
    <w:rsid w:val="00D237F4"/>
    <w:rsid w:val="00D259AE"/>
    <w:rsid w:val="00D35172"/>
    <w:rsid w:val="00D41B58"/>
    <w:rsid w:val="00D45D16"/>
    <w:rsid w:val="00D572DF"/>
    <w:rsid w:val="00D57750"/>
    <w:rsid w:val="00D743E9"/>
    <w:rsid w:val="00DA70C7"/>
    <w:rsid w:val="00DC1734"/>
    <w:rsid w:val="00DE5E53"/>
    <w:rsid w:val="00DF3B80"/>
    <w:rsid w:val="00E05CA3"/>
    <w:rsid w:val="00E13116"/>
    <w:rsid w:val="00E34B2D"/>
    <w:rsid w:val="00E54F78"/>
    <w:rsid w:val="00E71D69"/>
    <w:rsid w:val="00E80398"/>
    <w:rsid w:val="00EB6873"/>
    <w:rsid w:val="00EC6F7C"/>
    <w:rsid w:val="00ED2421"/>
    <w:rsid w:val="00EE2A1E"/>
    <w:rsid w:val="00F0649A"/>
    <w:rsid w:val="00F15672"/>
    <w:rsid w:val="00F1652A"/>
    <w:rsid w:val="00F32DC7"/>
    <w:rsid w:val="00F41F4C"/>
    <w:rsid w:val="00F60BFD"/>
    <w:rsid w:val="00F71D43"/>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C47C5264-CC84-477C-BECE-DE421C67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C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D0099"/>
    <w:rPr>
      <w:rFonts w:ascii="Tahoma" w:hAnsi="Tahoma" w:cs="Tahoma"/>
      <w:sz w:val="16"/>
      <w:szCs w:val="16"/>
    </w:rPr>
  </w:style>
  <w:style w:type="character" w:styleId="Lienhypertexte">
    <w:name w:val="Hyperlink"/>
    <w:uiPriority w:val="99"/>
    <w:unhideWhenUsed/>
    <w:rsid w:val="00DF3B80"/>
    <w:rPr>
      <w:color w:val="0000FF"/>
      <w:u w:val="single"/>
    </w:rPr>
  </w:style>
  <w:style w:type="paragraph" w:styleId="Listecouleur-Accent1">
    <w:name w:val="Colorful List Accent 1"/>
    <w:basedOn w:val="Normal"/>
    <w:uiPriority w:val="34"/>
    <w:qFormat/>
    <w:rsid w:val="002A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7166</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8452</CharactersWithSpaces>
  <SharedDoc>false</SharedDoc>
  <HLinks>
    <vt:vector size="6" baseType="variant">
      <vt:variant>
        <vt:i4>6946902</vt:i4>
      </vt:variant>
      <vt:variant>
        <vt:i4>0</vt:i4>
      </vt:variant>
      <vt:variant>
        <vt:i4>0</vt:i4>
      </vt:variant>
      <vt:variant>
        <vt:i4>5</vt:i4>
      </vt:variant>
      <vt:variant>
        <vt:lpwstr>mailto:firah@firah.org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Sassi-Tchokonté</dc:creator>
  <cp:keywords/>
  <cp:lastModifiedBy>Cécile Vallée</cp:lastModifiedBy>
  <cp:revision>2</cp:revision>
  <cp:lastPrinted>2013-08-27T14:34:00Z</cp:lastPrinted>
  <dcterms:created xsi:type="dcterms:W3CDTF">2015-06-17T13:28:00Z</dcterms:created>
  <dcterms:modified xsi:type="dcterms:W3CDTF">2015-06-17T13:28:00Z</dcterms:modified>
</cp:coreProperties>
</file>